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6A61" w14:textId="3B1E7A8E" w:rsidR="00951A71" w:rsidRPr="003B4E3F" w:rsidRDefault="00951A71" w:rsidP="00EE3381">
      <w:pPr>
        <w:widowControl/>
        <w:autoSpaceDE/>
        <w:autoSpaceDN/>
        <w:adjustRightInd/>
        <w:jc w:val="left"/>
        <w:rPr>
          <w:rFonts w:cs="Arial"/>
          <w:bCs/>
        </w:rPr>
      </w:pPr>
      <w:r w:rsidRPr="003B4E3F">
        <w:rPr>
          <w:rFonts w:cs="Arial"/>
          <w:sz w:val="20"/>
        </w:rPr>
        <w:t xml:space="preserve">   </w:t>
      </w:r>
      <w:r w:rsidR="006A3B73">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0C1FBE85" wp14:editId="38DC9E21">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12DDD6EB" w14:textId="77777777" w:rsidR="00951A71" w:rsidRPr="003B4E3F" w:rsidRDefault="00951A71" w:rsidP="00EE3381">
      <w:pPr>
        <w:widowControl/>
        <w:autoSpaceDE/>
        <w:autoSpaceDN/>
        <w:adjustRightInd/>
        <w:jc w:val="left"/>
        <w:rPr>
          <w:rFonts w:cs="Arial"/>
          <w:bCs/>
        </w:rPr>
      </w:pPr>
      <w:r w:rsidRPr="003B4E3F">
        <w:rPr>
          <w:rFonts w:cs="Arial"/>
          <w:bCs/>
        </w:rPr>
        <w:t>REPUBLIKA HRVATSKA</w:t>
      </w:r>
    </w:p>
    <w:p w14:paraId="638ABA61" w14:textId="77777777" w:rsidR="00951A71" w:rsidRPr="003B4E3F" w:rsidRDefault="00951A71" w:rsidP="00EE3381">
      <w:pPr>
        <w:widowControl/>
        <w:pBdr>
          <w:bottom w:val="single" w:sz="4" w:space="1" w:color="auto"/>
        </w:pBdr>
        <w:autoSpaceDE/>
        <w:autoSpaceDN/>
        <w:adjustRightInd/>
        <w:rPr>
          <w:rFonts w:cs="Arial"/>
          <w:bCs/>
          <w:szCs w:val="20"/>
        </w:rPr>
      </w:pPr>
      <w:r w:rsidRPr="003B4E3F">
        <w:rPr>
          <w:rFonts w:cs="Arial"/>
          <w:bCs/>
          <w:szCs w:val="20"/>
        </w:rPr>
        <w:t>DRŽAVNI URED ZA REVIZIJU</w:t>
      </w:r>
    </w:p>
    <w:p w14:paraId="5C1D003D" w14:textId="358365A1" w:rsidR="00A475FB" w:rsidRPr="003B4E3F" w:rsidRDefault="00A475FB" w:rsidP="00EE3381">
      <w:pPr>
        <w:tabs>
          <w:tab w:val="left" w:pos="284"/>
          <w:tab w:val="left" w:pos="567"/>
          <w:tab w:val="left" w:pos="851"/>
        </w:tabs>
      </w:pPr>
      <w:r w:rsidRPr="003B4E3F">
        <w:t>KLASA: 0</w:t>
      </w:r>
      <w:r w:rsidR="00DF1F60" w:rsidRPr="003B4E3F">
        <w:t>08</w:t>
      </w:r>
      <w:r w:rsidRPr="003B4E3F">
        <w:t>-01/</w:t>
      </w:r>
      <w:r w:rsidR="005440FA">
        <w:t>25</w:t>
      </w:r>
      <w:r w:rsidRPr="003B4E3F">
        <w:t>-0</w:t>
      </w:r>
      <w:r w:rsidR="00B96D52" w:rsidRPr="003B4E3F">
        <w:t>4</w:t>
      </w:r>
      <w:r w:rsidRPr="003B4E3F">
        <w:t>/1</w:t>
      </w:r>
    </w:p>
    <w:p w14:paraId="5F9F1EAB" w14:textId="514C1622" w:rsidR="00A475FB" w:rsidRPr="003B4E3F" w:rsidRDefault="00A475FB" w:rsidP="00EE3381">
      <w:pPr>
        <w:tabs>
          <w:tab w:val="left" w:pos="284"/>
          <w:tab w:val="left" w:pos="567"/>
          <w:tab w:val="left" w:pos="851"/>
        </w:tabs>
      </w:pPr>
      <w:r w:rsidRPr="003B4E3F">
        <w:t>URBROJ: 613-01-10-2</w:t>
      </w:r>
      <w:r w:rsidR="005440FA">
        <w:t>5</w:t>
      </w:r>
      <w:r w:rsidRPr="003B4E3F">
        <w:t>-</w:t>
      </w:r>
      <w:r w:rsidR="00DF1F60" w:rsidRPr="003B4E3F">
        <w:t>2</w:t>
      </w:r>
    </w:p>
    <w:p w14:paraId="76685F48" w14:textId="77777777" w:rsidR="00A475FB" w:rsidRPr="003B4E3F" w:rsidRDefault="00A475FB" w:rsidP="00EE3381">
      <w:pPr>
        <w:tabs>
          <w:tab w:val="left" w:pos="284"/>
          <w:tab w:val="left" w:pos="567"/>
          <w:tab w:val="left" w:pos="851"/>
        </w:tabs>
      </w:pPr>
    </w:p>
    <w:p w14:paraId="1D1C5335" w14:textId="1DC142E2" w:rsidR="00A475FB" w:rsidRPr="003B4E3F" w:rsidRDefault="00A475FB" w:rsidP="00EE3381">
      <w:pPr>
        <w:tabs>
          <w:tab w:val="left" w:pos="284"/>
          <w:tab w:val="left" w:pos="567"/>
          <w:tab w:val="left" w:pos="851"/>
        </w:tabs>
      </w:pPr>
      <w:r w:rsidRPr="003B4E3F">
        <w:t xml:space="preserve">Zagreb, </w:t>
      </w:r>
      <w:r w:rsidR="005440FA">
        <w:t>31</w:t>
      </w:r>
      <w:r w:rsidRPr="003B4E3F">
        <w:t>. ožujka 202</w:t>
      </w:r>
      <w:r w:rsidR="005440FA">
        <w:t>5</w:t>
      </w:r>
      <w:r w:rsidRPr="003B4E3F">
        <w:t>.</w:t>
      </w:r>
    </w:p>
    <w:p w14:paraId="62B0CA14" w14:textId="77777777" w:rsidR="00A475FB" w:rsidRPr="003B4E3F" w:rsidRDefault="00A475FB" w:rsidP="00EE3381">
      <w:pPr>
        <w:tabs>
          <w:tab w:val="left" w:pos="284"/>
          <w:tab w:val="left" w:pos="567"/>
          <w:tab w:val="left" w:pos="851"/>
        </w:tabs>
      </w:pPr>
    </w:p>
    <w:p w14:paraId="33455974" w14:textId="77777777" w:rsidR="0030749A" w:rsidRPr="003B4E3F" w:rsidRDefault="0030749A" w:rsidP="00EE3381"/>
    <w:p w14:paraId="0685781B" w14:textId="77777777" w:rsidR="00951A71" w:rsidRPr="003B4E3F" w:rsidRDefault="0030749A" w:rsidP="00EE3381">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14:paraId="495D69CB" w14:textId="77777777" w:rsidR="00951A71" w:rsidRPr="003B4E3F" w:rsidRDefault="00951A71" w:rsidP="00EE3381"/>
    <w:p w14:paraId="1FB05D40" w14:textId="77777777" w:rsidR="0030749A" w:rsidRPr="003B4E3F" w:rsidRDefault="0030749A" w:rsidP="00EE3381"/>
    <w:p w14:paraId="4BF6252F" w14:textId="77777777" w:rsidR="00951A71" w:rsidRPr="003B4E3F" w:rsidRDefault="00A87482" w:rsidP="00EE3381">
      <w:pPr>
        <w:jc w:val="center"/>
      </w:pPr>
      <w:r w:rsidRPr="003B4E3F">
        <w:t>PRIOPĆENJE ZA MEDIJE</w:t>
      </w:r>
    </w:p>
    <w:p w14:paraId="3CFD5A1C" w14:textId="77777777" w:rsidR="00951A71" w:rsidRPr="003B4E3F" w:rsidRDefault="00951A71" w:rsidP="00EE3381">
      <w:pPr>
        <w:jc w:val="center"/>
      </w:pPr>
    </w:p>
    <w:p w14:paraId="5E76BC70" w14:textId="77777777" w:rsidR="00951A71" w:rsidRPr="003B4E3F" w:rsidRDefault="00951A71" w:rsidP="00EE3381">
      <w:pPr>
        <w:jc w:val="center"/>
        <w:rPr>
          <w:b/>
        </w:rPr>
      </w:pPr>
      <w:r w:rsidRPr="003B4E3F">
        <w:rPr>
          <w:b/>
        </w:rPr>
        <w:t>DOSTAVA IZVJEŠĆA HRVATSKOM SABORU</w:t>
      </w:r>
    </w:p>
    <w:p w14:paraId="0C27ED7B" w14:textId="77777777" w:rsidR="00951A71" w:rsidRPr="003B4E3F" w:rsidRDefault="00951A71" w:rsidP="00EE3381">
      <w:pPr>
        <w:jc w:val="center"/>
      </w:pPr>
    </w:p>
    <w:p w14:paraId="72CE4486" w14:textId="77777777" w:rsidR="00951A71" w:rsidRPr="003B4E3F" w:rsidRDefault="00951A71" w:rsidP="00EE3381"/>
    <w:p w14:paraId="6E27B566" w14:textId="3E3BC43F" w:rsidR="009829EA" w:rsidRPr="003B4E3F" w:rsidRDefault="00951A71" w:rsidP="00EE3381">
      <w:pPr>
        <w:tabs>
          <w:tab w:val="left" w:pos="567"/>
        </w:tabs>
        <w:rPr>
          <w:b/>
        </w:rPr>
      </w:pPr>
      <w:r w:rsidRPr="003B4E3F">
        <w:tab/>
        <w:t xml:space="preserve">Državni ured za reviziju </w:t>
      </w:r>
      <w:r w:rsidR="00EE4F46" w:rsidRPr="003B4E3F">
        <w:t xml:space="preserve">(dalje u tekstu: Ured) </w:t>
      </w:r>
      <w:r w:rsidRPr="003B4E3F">
        <w:t xml:space="preserve">je </w:t>
      </w:r>
      <w:r w:rsidR="00964431">
        <w:t>31</w:t>
      </w:r>
      <w:r w:rsidR="00310DC0" w:rsidRPr="003B4E3F">
        <w:t xml:space="preserve">. </w:t>
      </w:r>
      <w:r w:rsidR="00D1646C" w:rsidRPr="003B4E3F">
        <w:t xml:space="preserve">ožujka </w:t>
      </w:r>
      <w:r w:rsidRPr="003B4E3F">
        <w:t>20</w:t>
      </w:r>
      <w:r w:rsidR="00D1646C" w:rsidRPr="003B4E3F">
        <w:t>2</w:t>
      </w:r>
      <w:r w:rsidR="00964431">
        <w:t>5</w:t>
      </w:r>
      <w:r w:rsidRPr="003B4E3F">
        <w:t xml:space="preserve">. dostavio </w:t>
      </w:r>
      <w:r w:rsidRPr="003B4E3F">
        <w:rPr>
          <w:b/>
        </w:rPr>
        <w:t>Hrvatskom saboru</w:t>
      </w:r>
      <w:r w:rsidR="00310DC0" w:rsidRPr="003B4E3F">
        <w:t>:</w:t>
      </w:r>
    </w:p>
    <w:p w14:paraId="0466F97A" w14:textId="77777777" w:rsidR="00310DC0" w:rsidRPr="00964431" w:rsidRDefault="00310DC0" w:rsidP="00EE3381">
      <w:pPr>
        <w:tabs>
          <w:tab w:val="left" w:pos="567"/>
        </w:tabs>
        <w:rPr>
          <w:rFonts w:cs="Arial"/>
          <w:b/>
        </w:rPr>
      </w:pPr>
    </w:p>
    <w:p w14:paraId="6EBF2336" w14:textId="5CF2DBF9" w:rsidR="00964431" w:rsidRPr="00964431" w:rsidRDefault="00964431" w:rsidP="00354CAD">
      <w:pPr>
        <w:pStyle w:val="Odlomakpopisa"/>
        <w:numPr>
          <w:ilvl w:val="0"/>
          <w:numId w:val="4"/>
        </w:numPr>
        <w:tabs>
          <w:tab w:val="left" w:pos="0"/>
          <w:tab w:val="left" w:pos="567"/>
        </w:tabs>
        <w:spacing w:line="240" w:lineRule="auto"/>
        <w:ind w:left="567" w:hanging="567"/>
        <w:jc w:val="both"/>
        <w:rPr>
          <w:rFonts w:ascii="Arial" w:hAnsi="Arial" w:cs="Arial"/>
          <w:b/>
          <w:sz w:val="24"/>
          <w:szCs w:val="24"/>
        </w:rPr>
      </w:pPr>
      <w:r w:rsidRPr="00964431">
        <w:rPr>
          <w:rFonts w:ascii="Arial" w:hAnsi="Arial" w:cs="Arial"/>
          <w:b/>
          <w:sz w:val="24"/>
          <w:szCs w:val="24"/>
        </w:rPr>
        <w:t>Izvješće o radu</w:t>
      </w:r>
      <w:r w:rsidRPr="00964431">
        <w:rPr>
          <w:rFonts w:ascii="Arial" w:hAnsi="Arial" w:cs="Arial"/>
          <w:sz w:val="24"/>
          <w:szCs w:val="24"/>
        </w:rPr>
        <w:t xml:space="preserve"> </w:t>
      </w:r>
      <w:r w:rsidRPr="00964431">
        <w:rPr>
          <w:rFonts w:ascii="Arial" w:hAnsi="Arial" w:cs="Arial"/>
          <w:b/>
          <w:sz w:val="24"/>
          <w:szCs w:val="24"/>
        </w:rPr>
        <w:t>Ureda za 2024.</w:t>
      </w:r>
    </w:p>
    <w:p w14:paraId="7C2C8EF4" w14:textId="77777777" w:rsidR="00964431" w:rsidRPr="00964431" w:rsidRDefault="00964431" w:rsidP="00354C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o obavljenim financijskim revizijama</w:t>
      </w:r>
      <w:r w:rsidRPr="00964431">
        <w:rPr>
          <w:rFonts w:ascii="Arial" w:hAnsi="Arial" w:cs="Arial"/>
          <w:b/>
          <w:sz w:val="24"/>
          <w:szCs w:val="24"/>
        </w:rPr>
        <w:t xml:space="preserve"> zavoda za javno zdravstvo,</w:t>
      </w:r>
      <w:r w:rsidRPr="00964431">
        <w:rPr>
          <w:rFonts w:ascii="Arial" w:hAnsi="Arial" w:cs="Arial"/>
          <w:sz w:val="24"/>
          <w:szCs w:val="24"/>
        </w:rPr>
        <w:t xml:space="preserve"> u čijem su prilogu 22 pojedinačna izvješća</w:t>
      </w:r>
    </w:p>
    <w:p w14:paraId="556DE9B1" w14:textId="691FA1FF" w:rsidR="00964431" w:rsidRDefault="00964431" w:rsidP="00354C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o obavljenim financijskim revizijama</w:t>
      </w:r>
      <w:r w:rsidRPr="00964431">
        <w:rPr>
          <w:rFonts w:ascii="Arial" w:hAnsi="Arial" w:cs="Arial"/>
          <w:b/>
          <w:sz w:val="24"/>
          <w:szCs w:val="24"/>
        </w:rPr>
        <w:t xml:space="preserve"> domova zdravlja,</w:t>
      </w:r>
      <w:r w:rsidRPr="00964431">
        <w:rPr>
          <w:rFonts w:ascii="Arial" w:hAnsi="Arial" w:cs="Arial"/>
          <w:sz w:val="24"/>
          <w:szCs w:val="24"/>
        </w:rPr>
        <w:t xml:space="preserve"> u čijem je prilogu 17 pojedinačnih izvješća</w:t>
      </w:r>
    </w:p>
    <w:p w14:paraId="0339BF86" w14:textId="77777777" w:rsidR="003E5AC9" w:rsidRPr="00964431" w:rsidRDefault="003E5AC9" w:rsidP="00354C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o obavljenoj provjeri provedbe naloga i preporuka danih u financijskim revizijama</w:t>
      </w:r>
      <w:r w:rsidRPr="00964431">
        <w:rPr>
          <w:rFonts w:ascii="Arial" w:hAnsi="Arial" w:cs="Arial"/>
          <w:b/>
          <w:sz w:val="24"/>
          <w:szCs w:val="24"/>
        </w:rPr>
        <w:t xml:space="preserve"> korisnika proračuna, lokalnih jedinica i trgovačkih društava</w:t>
      </w:r>
      <w:r w:rsidRPr="00964431">
        <w:rPr>
          <w:rFonts w:ascii="Arial" w:hAnsi="Arial" w:cs="Arial"/>
          <w:sz w:val="24"/>
          <w:szCs w:val="24"/>
        </w:rPr>
        <w:t>, u čijem je prilogu 69 pojedinačnih izvješća</w:t>
      </w:r>
    </w:p>
    <w:p w14:paraId="19CE8D29" w14:textId="77777777" w:rsidR="00E274B7" w:rsidRPr="00964431" w:rsidRDefault="00E274B7" w:rsidP="00354CAD">
      <w:pPr>
        <w:pStyle w:val="Odlomakpopisa"/>
        <w:numPr>
          <w:ilvl w:val="0"/>
          <w:numId w:val="3"/>
        </w:numPr>
        <w:tabs>
          <w:tab w:val="left" w:pos="0"/>
          <w:tab w:val="left" w:pos="567"/>
        </w:tabs>
        <w:spacing w:line="240" w:lineRule="auto"/>
        <w:ind w:left="567" w:hanging="567"/>
        <w:jc w:val="both"/>
        <w:rPr>
          <w:rFonts w:ascii="Arial" w:hAnsi="Arial" w:cs="Arial"/>
          <w:b/>
          <w:sz w:val="24"/>
          <w:szCs w:val="24"/>
        </w:rPr>
      </w:pPr>
      <w:r w:rsidRPr="00964431">
        <w:rPr>
          <w:rFonts w:ascii="Arial" w:hAnsi="Arial" w:cs="Arial"/>
          <w:sz w:val="24"/>
          <w:szCs w:val="24"/>
        </w:rPr>
        <w:t>Izvješće o obavljenoj reviziji učinkovitosti</w:t>
      </w:r>
      <w:r w:rsidRPr="00964431">
        <w:rPr>
          <w:rFonts w:ascii="Arial" w:hAnsi="Arial" w:cs="Arial"/>
          <w:b/>
          <w:sz w:val="24"/>
          <w:szCs w:val="24"/>
        </w:rPr>
        <w:t xml:space="preserve"> Prilagodba klimatskim promjenama u Republici Hrvatskoj </w:t>
      </w:r>
    </w:p>
    <w:p w14:paraId="240A10C6" w14:textId="77777777" w:rsidR="00E274B7" w:rsidRPr="00964431" w:rsidRDefault="00E274B7" w:rsidP="00354C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sz w:val="24"/>
          <w:szCs w:val="24"/>
        </w:rPr>
        <w:t xml:space="preserve">Izvješće o obavljenoj reviziji učinkovitosti </w:t>
      </w:r>
      <w:r w:rsidRPr="00964431">
        <w:rPr>
          <w:rFonts w:ascii="Arial" w:hAnsi="Arial" w:cs="Arial"/>
          <w:b/>
          <w:sz w:val="24"/>
          <w:szCs w:val="24"/>
        </w:rPr>
        <w:t>Korištenje sredstava raspoloživih iz Mehanizma za oporavak i otpornost u Republici Hrvatskoj</w:t>
      </w:r>
    </w:p>
    <w:p w14:paraId="75234368" w14:textId="28CA31AF" w:rsidR="00CF6941" w:rsidRPr="00CF6941" w:rsidRDefault="00964431" w:rsidP="00354CAD">
      <w:pPr>
        <w:pStyle w:val="Odlomakpopisa"/>
        <w:numPr>
          <w:ilvl w:val="0"/>
          <w:numId w:val="3"/>
        </w:numPr>
        <w:tabs>
          <w:tab w:val="left" w:pos="0"/>
          <w:tab w:val="left" w:pos="567"/>
        </w:tabs>
        <w:spacing w:line="240" w:lineRule="auto"/>
        <w:ind w:left="567" w:hanging="567"/>
        <w:jc w:val="both"/>
        <w:rPr>
          <w:rFonts w:cs="Arial"/>
        </w:rPr>
      </w:pPr>
      <w:r w:rsidRPr="00CF6941">
        <w:rPr>
          <w:rFonts w:ascii="Arial" w:hAnsi="Arial" w:cs="Arial"/>
          <w:b/>
          <w:sz w:val="24"/>
          <w:szCs w:val="24"/>
        </w:rPr>
        <w:t>13 izvješća o obavljenoj financijskoj reviziji</w:t>
      </w:r>
      <w:r w:rsidRPr="00CF6941">
        <w:rPr>
          <w:rFonts w:ascii="Arial" w:hAnsi="Arial" w:cs="Arial"/>
          <w:sz w:val="24"/>
          <w:szCs w:val="24"/>
        </w:rPr>
        <w:t xml:space="preserve">, i to za: </w:t>
      </w:r>
      <w:r w:rsidRPr="00CF6941">
        <w:rPr>
          <w:rFonts w:ascii="Arial" w:hAnsi="Arial" w:cs="Arial"/>
          <w:b/>
          <w:sz w:val="24"/>
          <w:szCs w:val="24"/>
        </w:rPr>
        <w:t>šest proračunskih korisnika državnog proračuna</w:t>
      </w:r>
      <w:r w:rsidRPr="00CF6941">
        <w:rPr>
          <w:rFonts w:ascii="Arial" w:hAnsi="Arial" w:cs="Arial"/>
          <w:sz w:val="24"/>
          <w:szCs w:val="24"/>
        </w:rPr>
        <w:t xml:space="preserve"> – Ministarstvo hrvatskih branitelja, Ministarstvo prostornoga uređenja, graditeljstva i državne imovine, Ministarstvo regionalnoga razvoja i fondova Europske unije, Ministarstvo</w:t>
      </w:r>
      <w:r w:rsidR="0061190F">
        <w:rPr>
          <w:rFonts w:ascii="Arial" w:hAnsi="Arial" w:cs="Arial"/>
          <w:sz w:val="24"/>
          <w:szCs w:val="24"/>
        </w:rPr>
        <w:t xml:space="preserve"> vanjskih i europskih poslova, </w:t>
      </w:r>
      <w:r w:rsidRPr="00CF6941">
        <w:rPr>
          <w:rFonts w:ascii="Arial" w:hAnsi="Arial" w:cs="Arial"/>
          <w:sz w:val="24"/>
          <w:szCs w:val="24"/>
        </w:rPr>
        <w:t xml:space="preserve">Ministarstvo unutarnjih poslova, Ministarstvo znanosti i obrazovanja, </w:t>
      </w:r>
      <w:r w:rsidRPr="00CF6941">
        <w:rPr>
          <w:rFonts w:ascii="Arial" w:hAnsi="Arial" w:cs="Arial"/>
          <w:b/>
          <w:sz w:val="24"/>
          <w:szCs w:val="24"/>
        </w:rPr>
        <w:t>jednog izvanproračunskog korisnika državnog proračuna</w:t>
      </w:r>
      <w:r w:rsidRPr="00CF6941">
        <w:rPr>
          <w:rFonts w:ascii="Arial" w:hAnsi="Arial" w:cs="Arial"/>
          <w:sz w:val="24"/>
          <w:szCs w:val="24"/>
        </w:rPr>
        <w:t xml:space="preserve"> – Fond za zaštitu okoliša i energetsku učinkovitost, </w:t>
      </w:r>
      <w:r w:rsidRPr="00CF6941">
        <w:rPr>
          <w:rFonts w:ascii="Arial" w:hAnsi="Arial" w:cs="Arial"/>
          <w:b/>
          <w:sz w:val="24"/>
          <w:szCs w:val="24"/>
        </w:rPr>
        <w:t>šest trgovačkih društava u vlasništvu lokalnih jedinica</w:t>
      </w:r>
      <w:r w:rsidRPr="00CF6941">
        <w:rPr>
          <w:rFonts w:ascii="Arial" w:hAnsi="Arial" w:cs="Arial"/>
          <w:sz w:val="24"/>
          <w:szCs w:val="24"/>
        </w:rPr>
        <w:t xml:space="preserve"> – </w:t>
      </w:r>
      <w:proofErr w:type="spellStart"/>
      <w:r w:rsidRPr="00CF6941">
        <w:rPr>
          <w:rFonts w:ascii="Arial" w:hAnsi="Arial" w:cs="Arial"/>
          <w:sz w:val="24"/>
          <w:szCs w:val="24"/>
        </w:rPr>
        <w:t>Juština</w:t>
      </w:r>
      <w:proofErr w:type="spellEnd"/>
      <w:r w:rsidRPr="00CF6941">
        <w:rPr>
          <w:rFonts w:ascii="Arial" w:hAnsi="Arial" w:cs="Arial"/>
          <w:sz w:val="24"/>
          <w:szCs w:val="24"/>
        </w:rPr>
        <w:t xml:space="preserve"> d.o.o., </w:t>
      </w:r>
      <w:proofErr w:type="spellStart"/>
      <w:r w:rsidRPr="00CF6941">
        <w:rPr>
          <w:rFonts w:ascii="Arial" w:hAnsi="Arial" w:cs="Arial"/>
          <w:sz w:val="24"/>
          <w:szCs w:val="24"/>
        </w:rPr>
        <w:t>Pakoštane</w:t>
      </w:r>
      <w:proofErr w:type="spellEnd"/>
      <w:r w:rsidRPr="00CF6941">
        <w:rPr>
          <w:rFonts w:ascii="Arial" w:hAnsi="Arial" w:cs="Arial"/>
          <w:sz w:val="24"/>
          <w:szCs w:val="24"/>
        </w:rPr>
        <w:t xml:space="preserve">; Komunalac d.o.o., Biograd na Moru; Komunalac </w:t>
      </w:r>
      <w:proofErr w:type="spellStart"/>
      <w:r w:rsidRPr="00CF6941">
        <w:rPr>
          <w:rFonts w:ascii="Arial" w:hAnsi="Arial" w:cs="Arial"/>
          <w:sz w:val="24"/>
          <w:szCs w:val="24"/>
        </w:rPr>
        <w:t>Konjščina</w:t>
      </w:r>
      <w:proofErr w:type="spellEnd"/>
      <w:r w:rsidRPr="00CF6941">
        <w:rPr>
          <w:rFonts w:ascii="Arial" w:hAnsi="Arial" w:cs="Arial"/>
          <w:sz w:val="24"/>
          <w:szCs w:val="24"/>
        </w:rPr>
        <w:t xml:space="preserve"> d.o.o.; Poduzetnički centar Krapinsko-zagorske županije d.o.o., Krapina; Športski centar Višnjik d.o.o., Zadar i Vodovod Korenica d.o.o. </w:t>
      </w:r>
    </w:p>
    <w:p w14:paraId="4EB16178" w14:textId="659A8D15" w:rsidR="00964431" w:rsidRPr="00CF6941" w:rsidRDefault="00964431" w:rsidP="00354C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CF6941">
        <w:rPr>
          <w:rFonts w:ascii="Arial" w:hAnsi="Arial" w:cs="Arial"/>
          <w:sz w:val="24"/>
          <w:szCs w:val="24"/>
        </w:rPr>
        <w:t xml:space="preserve">te </w:t>
      </w:r>
      <w:r w:rsidRPr="00CF6941">
        <w:rPr>
          <w:rFonts w:ascii="Arial" w:hAnsi="Arial" w:cs="Arial"/>
          <w:b/>
          <w:sz w:val="24"/>
          <w:szCs w:val="24"/>
        </w:rPr>
        <w:t>tri izvješća o obavljenoj reviziji usklađenosti</w:t>
      </w:r>
      <w:r w:rsidRPr="00CF6941">
        <w:rPr>
          <w:rFonts w:ascii="Arial" w:hAnsi="Arial" w:cs="Arial"/>
          <w:sz w:val="24"/>
          <w:szCs w:val="24"/>
        </w:rPr>
        <w:t>, i to za: Hrvatsku narodnu banku, Zagrebački električni tramvaj d.o.o. i Zagrebački velesajam d.o.o.</w:t>
      </w:r>
    </w:p>
    <w:p w14:paraId="24A8EB52" w14:textId="33764EA4" w:rsidR="00964431" w:rsidRDefault="00964431" w:rsidP="00EE3381">
      <w:pPr>
        <w:widowControl/>
        <w:tabs>
          <w:tab w:val="left" w:pos="567"/>
        </w:tabs>
        <w:autoSpaceDE/>
        <w:autoSpaceDN/>
        <w:adjustRightInd/>
        <w:ind w:left="567"/>
        <w:contextualSpacing/>
        <w:jc w:val="left"/>
        <w:rPr>
          <w:rFonts w:ascii="Times New Roman" w:hAnsi="Times New Roman"/>
          <w:lang w:eastAsia="en-US"/>
        </w:rPr>
      </w:pPr>
    </w:p>
    <w:p w14:paraId="5CB3C331" w14:textId="6C077B97" w:rsidR="00CF6941" w:rsidRDefault="00CF6941" w:rsidP="00EE3381">
      <w:pPr>
        <w:widowControl/>
        <w:tabs>
          <w:tab w:val="left" w:pos="567"/>
        </w:tabs>
        <w:autoSpaceDE/>
        <w:autoSpaceDN/>
        <w:adjustRightInd/>
        <w:ind w:left="567"/>
        <w:contextualSpacing/>
        <w:jc w:val="left"/>
        <w:rPr>
          <w:rFonts w:ascii="Times New Roman" w:hAnsi="Times New Roman"/>
          <w:lang w:eastAsia="en-US"/>
        </w:rPr>
      </w:pPr>
    </w:p>
    <w:p w14:paraId="761D523A" w14:textId="77777777" w:rsidR="006A3B73" w:rsidRPr="00964431" w:rsidRDefault="006A3B73" w:rsidP="00EE3381">
      <w:pPr>
        <w:widowControl/>
        <w:tabs>
          <w:tab w:val="left" w:pos="567"/>
        </w:tabs>
        <w:autoSpaceDE/>
        <w:autoSpaceDN/>
        <w:adjustRightInd/>
        <w:ind w:left="567"/>
        <w:contextualSpacing/>
        <w:jc w:val="left"/>
        <w:rPr>
          <w:rFonts w:ascii="Times New Roman" w:hAnsi="Times New Roman"/>
          <w:lang w:eastAsia="en-US"/>
        </w:rPr>
      </w:pPr>
    </w:p>
    <w:p w14:paraId="2AA0185A" w14:textId="21A7B43C" w:rsidR="007F099B" w:rsidRPr="00964431" w:rsidRDefault="00CF6941" w:rsidP="00EE3381">
      <w:pPr>
        <w:tabs>
          <w:tab w:val="left" w:pos="0"/>
          <w:tab w:val="left" w:pos="567"/>
          <w:tab w:val="left" w:pos="851"/>
        </w:tabs>
        <w:rPr>
          <w:rFonts w:cs="Arial"/>
        </w:rPr>
      </w:pPr>
      <w:r>
        <w:rPr>
          <w:rFonts w:cs="Arial"/>
        </w:rPr>
        <w:lastRenderedPageBreak/>
        <w:tab/>
      </w:r>
      <w:r w:rsidR="007F099B" w:rsidRPr="003B4E3F">
        <w:rPr>
          <w:rFonts w:cs="Arial"/>
        </w:rPr>
        <w:t>Sva izvješća</w:t>
      </w:r>
      <w:r w:rsidR="007F099B" w:rsidRPr="003B4E3F">
        <w:t xml:space="preserve"> </w:t>
      </w:r>
      <w:r w:rsidR="007F099B" w:rsidRPr="003B4E3F">
        <w:rPr>
          <w:rFonts w:cs="Arial"/>
        </w:rPr>
        <w:t xml:space="preserve">dostavljena su i </w:t>
      </w:r>
      <w:r w:rsidR="007F099B" w:rsidRPr="003B4E3F">
        <w:rPr>
          <w:rFonts w:cs="Arial"/>
          <w:b/>
        </w:rPr>
        <w:t>D</w:t>
      </w:r>
      <w:r w:rsidR="00BE6AA2" w:rsidRPr="003B4E3F">
        <w:rPr>
          <w:rFonts w:cs="Arial"/>
          <w:b/>
        </w:rPr>
        <w:t>ržavnom odvjetništvu Republike Hrvatske</w:t>
      </w:r>
      <w:r w:rsidR="00BE6AA2" w:rsidRPr="003B4E3F">
        <w:rPr>
          <w:rFonts w:cs="Arial"/>
        </w:rPr>
        <w:t xml:space="preserve"> </w:t>
      </w:r>
      <w:r w:rsidR="007F099B" w:rsidRPr="003B4E3F">
        <w:rPr>
          <w:rFonts w:cs="Arial"/>
        </w:rPr>
        <w:t>te objavljena na</w:t>
      </w:r>
      <w:r w:rsidR="007F099B" w:rsidRPr="003B4E3F">
        <w:rPr>
          <w:rFonts w:cs="Arial"/>
          <w:b/>
        </w:rPr>
        <w:t xml:space="preserve"> </w:t>
      </w:r>
      <w:hyperlink r:id="rId9" w:history="1">
        <w:r w:rsidR="007F099B" w:rsidRPr="00964431">
          <w:rPr>
            <w:rStyle w:val="Hiperveza"/>
            <w:rFonts w:cs="Arial"/>
          </w:rPr>
          <w:t xml:space="preserve">mrežnim stranicama </w:t>
        </w:r>
        <w:r w:rsidR="005E579E" w:rsidRPr="00964431">
          <w:rPr>
            <w:rStyle w:val="Hiperveza"/>
            <w:rFonts w:cs="Arial"/>
          </w:rPr>
          <w:t>Ureda</w:t>
        </w:r>
      </w:hyperlink>
      <w:r w:rsidR="007F099B" w:rsidRPr="00964431">
        <w:rPr>
          <w:rFonts w:cs="Arial"/>
        </w:rPr>
        <w:t>.</w:t>
      </w:r>
    </w:p>
    <w:p w14:paraId="4970F2E8" w14:textId="77777777" w:rsidR="00964431" w:rsidRPr="003B4E3F" w:rsidRDefault="00964431" w:rsidP="00EE3381">
      <w:pPr>
        <w:tabs>
          <w:tab w:val="left" w:pos="0"/>
          <w:tab w:val="left" w:pos="567"/>
          <w:tab w:val="left" w:pos="851"/>
        </w:tabs>
        <w:rPr>
          <w:rFonts w:cs="Arial"/>
        </w:rPr>
      </w:pPr>
    </w:p>
    <w:p w14:paraId="36179DCD" w14:textId="2514D58E" w:rsidR="00056D0B" w:rsidRDefault="00883C61" w:rsidP="00CF6941">
      <w:pPr>
        <w:tabs>
          <w:tab w:val="left" w:pos="284"/>
          <w:tab w:val="left" w:pos="567"/>
          <w:tab w:val="left" w:pos="851"/>
        </w:tabs>
      </w:pPr>
      <w:r w:rsidRPr="003B4E3F">
        <w:tab/>
      </w:r>
      <w:r w:rsidRPr="003B4E3F">
        <w:tab/>
      </w:r>
      <w:r w:rsidR="009C2F6C" w:rsidRPr="003B4E3F">
        <w:t>Osim izvješća o obavljenoj reviziji</w:t>
      </w:r>
      <w:r w:rsidRPr="003B4E3F">
        <w:t xml:space="preserve"> i obavljenoj provjeri provedbe</w:t>
      </w:r>
      <w:r w:rsidR="00AE7243">
        <w:t xml:space="preserve"> naloga i preporuka</w:t>
      </w:r>
      <w:r w:rsidR="009C2F6C" w:rsidRPr="003B4E3F">
        <w:t>,</w:t>
      </w:r>
      <w:r w:rsidR="00F10BD6" w:rsidRPr="003B4E3F">
        <w:t xml:space="preserve"> </w:t>
      </w:r>
      <w:r w:rsidR="003A6CF2" w:rsidRPr="003B4E3F">
        <w:t xml:space="preserve">a </w:t>
      </w:r>
      <w:r w:rsidR="009C2F6C" w:rsidRPr="003B4E3F">
        <w:t xml:space="preserve"> </w:t>
      </w:r>
      <w:r w:rsidR="003A6CF2" w:rsidRPr="003B4E3F">
        <w:t>u skladu s odredbama članka 23. Zakona o Državnom uredu za reviziju</w:t>
      </w:r>
      <w:r w:rsidR="001A210D">
        <w:t xml:space="preserve"> (Narodne novine 25/19)</w:t>
      </w:r>
      <w:r w:rsidR="00F10BD6" w:rsidRPr="003B4E3F">
        <w:t xml:space="preserve">, danas su DORH-u </w:t>
      </w:r>
      <w:r w:rsidR="009C2F6C" w:rsidRPr="003B4E3F">
        <w:t xml:space="preserve">dostavljene obavijesti </w:t>
      </w:r>
      <w:r w:rsidR="00DD7784" w:rsidRPr="004C236A">
        <w:t xml:space="preserve">za </w:t>
      </w:r>
      <w:r w:rsidR="004C236A" w:rsidRPr="005027B3">
        <w:rPr>
          <w:b/>
        </w:rPr>
        <w:t>33 subjekta</w:t>
      </w:r>
      <w:r w:rsidR="004C236A" w:rsidRPr="004C236A">
        <w:t xml:space="preserve"> </w:t>
      </w:r>
      <w:r w:rsidR="00D5105D">
        <w:t>koja</w:t>
      </w:r>
      <w:r w:rsidR="00964431" w:rsidRPr="004C236A">
        <w:t xml:space="preserve"> </w:t>
      </w:r>
      <w:r w:rsidR="001328A7" w:rsidRPr="004C236A">
        <w:t>nisu provel</w:t>
      </w:r>
      <w:r w:rsidR="00D5105D">
        <w:t>a</w:t>
      </w:r>
      <w:r w:rsidR="001328A7" w:rsidRPr="004C236A">
        <w:t xml:space="preserve"> naloge i preporuke dane u prošlim revizijama</w:t>
      </w:r>
      <w:r w:rsidR="000F6092" w:rsidRPr="004C236A">
        <w:t>,</w:t>
      </w:r>
      <w:r w:rsidR="001328A7" w:rsidRPr="004C236A">
        <w:t xml:space="preserve"> u rokovima i na način naveden u planu provedbe naloga i preporuka</w:t>
      </w:r>
      <w:r w:rsidR="004C236A" w:rsidRPr="004C236A">
        <w:t>.</w:t>
      </w:r>
      <w:r w:rsidR="00CF6941">
        <w:t xml:space="preserve"> </w:t>
      </w:r>
      <w:r w:rsidR="005E579E" w:rsidRPr="003B4E3F">
        <w:tab/>
      </w:r>
    </w:p>
    <w:p w14:paraId="7CF98FDD" w14:textId="1F1CCA8E" w:rsidR="009C2F6C" w:rsidRDefault="00056D0B" w:rsidP="00056D0B">
      <w:pPr>
        <w:tabs>
          <w:tab w:val="left" w:pos="284"/>
          <w:tab w:val="left" w:pos="567"/>
          <w:tab w:val="left" w:pos="851"/>
        </w:tabs>
      </w:pPr>
      <w:r>
        <w:tab/>
      </w:r>
      <w:r>
        <w:tab/>
      </w:r>
      <w:r w:rsidR="00D404EE">
        <w:t xml:space="preserve">Također, </w:t>
      </w:r>
      <w:r w:rsidR="005E579E" w:rsidRPr="003B4E3F">
        <w:t>d</w:t>
      </w:r>
      <w:r w:rsidR="00791DDA" w:rsidRPr="003B4E3F">
        <w:t>ostavljena</w:t>
      </w:r>
      <w:r w:rsidR="00CF6941">
        <w:t xml:space="preserve"> je </w:t>
      </w:r>
      <w:r w:rsidR="003A6CF2" w:rsidRPr="003B4E3F">
        <w:t xml:space="preserve">i </w:t>
      </w:r>
      <w:r w:rsidR="00791DDA" w:rsidRPr="003B4E3F">
        <w:t xml:space="preserve">cjelokupna dokumentacija </w:t>
      </w:r>
      <w:r w:rsidR="00F51FAB">
        <w:t>prikupljena tijekom</w:t>
      </w:r>
      <w:r w:rsidR="003A6CF2" w:rsidRPr="003B4E3F">
        <w:t xml:space="preserve"> revizije </w:t>
      </w:r>
      <w:r w:rsidR="00855C90" w:rsidRPr="00855C90">
        <w:t>Zavod</w:t>
      </w:r>
      <w:r w:rsidR="00855C90">
        <w:t>a</w:t>
      </w:r>
      <w:r w:rsidR="00855C90" w:rsidRPr="00855C90">
        <w:t xml:space="preserve"> za javno zdravstvo Dubrovačko-neretvanske županije</w:t>
      </w:r>
      <w:r w:rsidR="00E9258A" w:rsidRPr="003B4E3F">
        <w:t xml:space="preserve">, </w:t>
      </w:r>
      <w:r w:rsidR="00BF3F17" w:rsidRPr="003B4E3F">
        <w:t>koj</w:t>
      </w:r>
      <w:r w:rsidR="00855C90">
        <w:t>emu</w:t>
      </w:r>
      <w:r w:rsidR="00791DDA" w:rsidRPr="003B4E3F">
        <w:t xml:space="preserve"> je izraženo nepovoljno mišljenje o financijskim izvještajima</w:t>
      </w:r>
      <w:r w:rsidR="00E9258A" w:rsidRPr="003B4E3F">
        <w:t xml:space="preserve"> i </w:t>
      </w:r>
      <w:r w:rsidR="00F26EC7">
        <w:t xml:space="preserve">o </w:t>
      </w:r>
      <w:r w:rsidR="00E9258A" w:rsidRPr="003B4E3F">
        <w:t>usklađenosti poslovanja</w:t>
      </w:r>
      <w:r w:rsidR="00791DDA" w:rsidRPr="003B4E3F">
        <w:t xml:space="preserve">. </w:t>
      </w:r>
    </w:p>
    <w:p w14:paraId="25798942" w14:textId="77777777" w:rsidR="000807A5" w:rsidRPr="003B4E3F" w:rsidRDefault="000807A5" w:rsidP="00EE3381">
      <w:pPr>
        <w:pBdr>
          <w:bottom w:val="single" w:sz="4" w:space="1" w:color="auto"/>
        </w:pBdr>
        <w:tabs>
          <w:tab w:val="left" w:pos="284"/>
          <w:tab w:val="left" w:pos="567"/>
          <w:tab w:val="left" w:pos="851"/>
        </w:tabs>
      </w:pPr>
    </w:p>
    <w:p w14:paraId="0D1117A3" w14:textId="77777777" w:rsidR="0058449E" w:rsidRPr="003B4E3F" w:rsidRDefault="0058449E" w:rsidP="00EE3381">
      <w:pPr>
        <w:tabs>
          <w:tab w:val="left" w:pos="284"/>
          <w:tab w:val="left" w:pos="567"/>
          <w:tab w:val="left" w:pos="851"/>
        </w:tabs>
      </w:pPr>
    </w:p>
    <w:p w14:paraId="723E2D35" w14:textId="0D99A253" w:rsidR="008B502E" w:rsidRPr="003B4E3F" w:rsidRDefault="0058449E" w:rsidP="00EE3381">
      <w:pPr>
        <w:tabs>
          <w:tab w:val="left" w:pos="284"/>
          <w:tab w:val="left" w:pos="567"/>
          <w:tab w:val="left" w:pos="851"/>
        </w:tabs>
        <w:rPr>
          <w:b/>
        </w:rPr>
      </w:pPr>
      <w:r w:rsidRPr="003B4E3F">
        <w:tab/>
      </w:r>
      <w:r w:rsidRPr="003B4E3F">
        <w:tab/>
      </w:r>
      <w:r w:rsidR="00A475FB" w:rsidRPr="003B4E3F">
        <w:rPr>
          <w:b/>
        </w:rPr>
        <w:tab/>
      </w:r>
      <w:r w:rsidR="009C2F6C" w:rsidRPr="003B4E3F">
        <w:rPr>
          <w:b/>
        </w:rPr>
        <w:tab/>
      </w:r>
    </w:p>
    <w:p w14:paraId="56594E6D" w14:textId="210E7F83" w:rsidR="00CD6159" w:rsidRPr="003B4E3F" w:rsidRDefault="00CD6159" w:rsidP="00200861">
      <w:pPr>
        <w:shd w:val="clear" w:color="auto" w:fill="D9D9D9" w:themeFill="background1" w:themeFillShade="D9"/>
        <w:tabs>
          <w:tab w:val="left" w:pos="284"/>
          <w:tab w:val="left" w:pos="567"/>
          <w:tab w:val="left" w:pos="851"/>
        </w:tabs>
        <w:ind w:firstLine="567"/>
        <w:rPr>
          <w:b/>
        </w:rPr>
      </w:pPr>
      <w:r w:rsidRPr="003B4E3F">
        <w:rPr>
          <w:b/>
        </w:rPr>
        <w:t>IZVJEŠĆE O RADU UREDA ZA 202</w:t>
      </w:r>
      <w:r w:rsidR="004C236A">
        <w:rPr>
          <w:b/>
        </w:rPr>
        <w:t>4</w:t>
      </w:r>
      <w:r w:rsidRPr="003B4E3F">
        <w:rPr>
          <w:b/>
        </w:rPr>
        <w:t>.</w:t>
      </w:r>
    </w:p>
    <w:p w14:paraId="3B229552" w14:textId="77777777" w:rsidR="00CD6159" w:rsidRPr="003B4E3F" w:rsidRDefault="00CD6159" w:rsidP="00EE3381">
      <w:pPr>
        <w:tabs>
          <w:tab w:val="left" w:pos="284"/>
          <w:tab w:val="left" w:pos="567"/>
          <w:tab w:val="left" w:pos="851"/>
        </w:tabs>
      </w:pPr>
    </w:p>
    <w:p w14:paraId="0CB1D6E3" w14:textId="14BC3263" w:rsidR="00CF6941" w:rsidRPr="00CF6941" w:rsidRDefault="00D5105D" w:rsidP="004B7970">
      <w:pPr>
        <w:tabs>
          <w:tab w:val="left" w:pos="8504"/>
        </w:tabs>
        <w:kinsoku w:val="0"/>
        <w:overflowPunct w:val="0"/>
        <w:ind w:right="-1" w:firstLine="567"/>
        <w:rPr>
          <w:rFonts w:cs="Arial"/>
        </w:rPr>
      </w:pPr>
      <w:r>
        <w:rPr>
          <w:rFonts w:cs="Arial"/>
        </w:rPr>
        <w:t>U I</w:t>
      </w:r>
      <w:r w:rsidR="00CF6941" w:rsidRPr="004B7970">
        <w:rPr>
          <w:rFonts w:cs="Arial"/>
        </w:rPr>
        <w:t xml:space="preserve">zvješću </w:t>
      </w:r>
      <w:r w:rsidR="005027B3">
        <w:rPr>
          <w:rFonts w:cs="Arial"/>
        </w:rPr>
        <w:t>o radu Ureda za 2024. na</w:t>
      </w:r>
      <w:r w:rsidR="00CF6941" w:rsidRPr="00CF6941">
        <w:rPr>
          <w:rFonts w:cs="Arial"/>
        </w:rPr>
        <w:t xml:space="preserve">vedene </w:t>
      </w:r>
      <w:r w:rsidR="005027B3">
        <w:rPr>
          <w:rFonts w:cs="Arial"/>
        </w:rPr>
        <w:t xml:space="preserve">su </w:t>
      </w:r>
      <w:r w:rsidR="00CF6941" w:rsidRPr="00CF6941">
        <w:rPr>
          <w:rFonts w:cs="Arial"/>
        </w:rPr>
        <w:t>informacije o nadležnosti Ureda, postupcima revizije, izraženim mišljenjima i danim ocjenama, podaci o godišnjem programu i planu rada te podaci o obavljenim revizijama prema vrstama revizije, grupama subjekata i predmetu revizije, kao i o obavljenoj provjeri provedbe naloga i preporuka. Izvješće, među ostalim, sadrži i informacije</w:t>
      </w:r>
      <w:r w:rsidR="00CF6941" w:rsidRPr="00CF6941">
        <w:rPr>
          <w:rFonts w:cs="Arial"/>
          <w:spacing w:val="-9"/>
        </w:rPr>
        <w:t xml:space="preserve"> </w:t>
      </w:r>
      <w:r w:rsidR="00CF6941" w:rsidRPr="00CF6941">
        <w:rPr>
          <w:rFonts w:cs="Arial"/>
        </w:rPr>
        <w:t>o</w:t>
      </w:r>
      <w:r w:rsidR="00CF6941" w:rsidRPr="00CF6941">
        <w:rPr>
          <w:rFonts w:cs="Arial"/>
          <w:spacing w:val="-8"/>
        </w:rPr>
        <w:t xml:space="preserve"> </w:t>
      </w:r>
      <w:r w:rsidR="00CF6941" w:rsidRPr="00CF6941">
        <w:rPr>
          <w:rFonts w:cs="Arial"/>
        </w:rPr>
        <w:t>drugim</w:t>
      </w:r>
      <w:r w:rsidR="00CF6941" w:rsidRPr="00CF6941">
        <w:rPr>
          <w:rFonts w:cs="Arial"/>
          <w:spacing w:val="-9"/>
        </w:rPr>
        <w:t xml:space="preserve"> </w:t>
      </w:r>
      <w:r w:rsidR="00CF6941" w:rsidRPr="00CF6941">
        <w:rPr>
          <w:rFonts w:cs="Arial"/>
        </w:rPr>
        <w:t>poslovima</w:t>
      </w:r>
      <w:r w:rsidR="00CF6941" w:rsidRPr="00CF6941">
        <w:rPr>
          <w:rFonts w:cs="Arial"/>
          <w:spacing w:val="-9"/>
        </w:rPr>
        <w:t xml:space="preserve"> </w:t>
      </w:r>
      <w:r w:rsidR="00CF6941" w:rsidRPr="00CF6941">
        <w:rPr>
          <w:rFonts w:cs="Arial"/>
        </w:rPr>
        <w:t>Ureda, aktivnostima iz Strateškog plana za razdoblje 2023. ‒ 2027., provedenim aktivnostima unutarnje revizije te ocjeni korisnika i subjekata revizije o kvaliteti rada Ured</w:t>
      </w:r>
      <w:r>
        <w:rPr>
          <w:rFonts w:cs="Arial"/>
        </w:rPr>
        <w:t xml:space="preserve">a. Osim toga, sastavni dio </w:t>
      </w:r>
      <w:r w:rsidR="00CF6941" w:rsidRPr="00CF6941">
        <w:rPr>
          <w:rFonts w:cs="Arial"/>
        </w:rPr>
        <w:t>Izvješća je i Izvješće neovisnog revizora o reviziji Godišnjih financijskih izvještaja Ureda za</w:t>
      </w:r>
      <w:r w:rsidR="00CF6941" w:rsidRPr="00CF6941">
        <w:rPr>
          <w:rFonts w:cs="Arial"/>
          <w:spacing w:val="-1"/>
        </w:rPr>
        <w:t xml:space="preserve"> </w:t>
      </w:r>
      <w:r w:rsidR="00CF6941" w:rsidRPr="00CF6941">
        <w:rPr>
          <w:rFonts w:cs="Arial"/>
        </w:rPr>
        <w:t>2024. te Godišnji izvještaj o izvršenju financijskog plana Ureda za 2024.</w:t>
      </w:r>
    </w:p>
    <w:p w14:paraId="061B3FB5" w14:textId="77777777" w:rsidR="00CF6941" w:rsidRPr="004B7970" w:rsidRDefault="00CF6941" w:rsidP="004B7970">
      <w:pPr>
        <w:tabs>
          <w:tab w:val="left" w:pos="567"/>
          <w:tab w:val="left" w:pos="851"/>
        </w:tabs>
      </w:pPr>
    </w:p>
    <w:p w14:paraId="6269BF4E" w14:textId="14DF70EF" w:rsidR="00CF6941" w:rsidRPr="0015364B" w:rsidRDefault="00CF6941" w:rsidP="004B7970">
      <w:pPr>
        <w:kinsoku w:val="0"/>
        <w:overflowPunct w:val="0"/>
        <w:spacing w:before="1"/>
        <w:ind w:firstLine="567"/>
        <w:textAlignment w:val="baseline"/>
      </w:pPr>
      <w:r w:rsidRPr="0015364B">
        <w:t xml:space="preserve">Tijekom 2024. Ured je planirao obaviti </w:t>
      </w:r>
      <w:r w:rsidRPr="0015364B">
        <w:rPr>
          <w:b/>
        </w:rPr>
        <w:t>220 revizija</w:t>
      </w:r>
      <w:r w:rsidRPr="0015364B">
        <w:t xml:space="preserve"> (od čega 194 financijske revizije, 22 revizije učinkovitosti i četiri revizije usklađenosti) te </w:t>
      </w:r>
      <w:r w:rsidRPr="0015364B">
        <w:rPr>
          <w:b/>
        </w:rPr>
        <w:t>90 provjera provedbe naloga i preporuka</w:t>
      </w:r>
      <w:r w:rsidR="004B7970" w:rsidRPr="0015364B">
        <w:rPr>
          <w:b/>
        </w:rPr>
        <w:t>, u okviru zasebnih revizijskih postupaka</w:t>
      </w:r>
      <w:r w:rsidRPr="0015364B">
        <w:t>.</w:t>
      </w:r>
    </w:p>
    <w:p w14:paraId="12A83884" w14:textId="77777777" w:rsidR="004B7970" w:rsidRPr="004B7970" w:rsidRDefault="00CF6941" w:rsidP="004B7970">
      <w:pPr>
        <w:kinsoku w:val="0"/>
        <w:overflowPunct w:val="0"/>
        <w:spacing w:before="1"/>
        <w:ind w:firstLine="567"/>
        <w:textAlignment w:val="baseline"/>
        <w:rPr>
          <w:spacing w:val="-10"/>
        </w:rPr>
      </w:pPr>
      <w:r w:rsidRPr="0015364B">
        <w:t xml:space="preserve">Obavljena je </w:t>
      </w:r>
      <w:r w:rsidRPr="0015364B">
        <w:rPr>
          <w:b/>
        </w:rPr>
        <w:t>181 revizija</w:t>
      </w:r>
      <w:r w:rsidRPr="0015364B">
        <w:t xml:space="preserve"> (od čega 156 financijskih revizija, 22 revizije učinkovitosti i tri revizije</w:t>
      </w:r>
      <w:r w:rsidRPr="004B7970">
        <w:rPr>
          <w:spacing w:val="-10"/>
        </w:rPr>
        <w:t xml:space="preserve"> usklađenosti) </w:t>
      </w:r>
      <w:r w:rsidRPr="0015364B">
        <w:t xml:space="preserve">te </w:t>
      </w:r>
      <w:r w:rsidRPr="0015364B">
        <w:rPr>
          <w:b/>
        </w:rPr>
        <w:t>69 provjera provedbe naloga i preporuka</w:t>
      </w:r>
      <w:r w:rsidRPr="0015364B">
        <w:t>.</w:t>
      </w:r>
      <w:r w:rsidRPr="004B7970">
        <w:rPr>
          <w:spacing w:val="-10"/>
        </w:rPr>
        <w:t xml:space="preserve"> </w:t>
      </w:r>
    </w:p>
    <w:p w14:paraId="0DDCF688" w14:textId="3E2DA5FC" w:rsidR="00CF6941" w:rsidRPr="0015364B" w:rsidRDefault="00CF6941" w:rsidP="004B7970">
      <w:pPr>
        <w:kinsoku w:val="0"/>
        <w:overflowPunct w:val="0"/>
        <w:spacing w:before="1"/>
        <w:ind w:firstLine="567"/>
        <w:textAlignment w:val="baseline"/>
      </w:pPr>
      <w:r w:rsidRPr="0015364B">
        <w:t>U tijeku je</w:t>
      </w:r>
      <w:r w:rsidR="004B7970" w:rsidRPr="0015364B">
        <w:t xml:space="preserve"> </w:t>
      </w:r>
      <w:r w:rsidR="004B7970" w:rsidRPr="0015364B">
        <w:rPr>
          <w:b/>
        </w:rPr>
        <w:t>39 revizija</w:t>
      </w:r>
      <w:r w:rsidR="004B7970" w:rsidRPr="0015364B">
        <w:t xml:space="preserve"> (38 financijskih revizija</w:t>
      </w:r>
      <w:r w:rsidR="00D5105D" w:rsidRPr="0015364B">
        <w:t xml:space="preserve"> i jedna revizija usklađenosti</w:t>
      </w:r>
      <w:r w:rsidR="004B7970" w:rsidRPr="0015364B">
        <w:t>) t</w:t>
      </w:r>
      <w:r w:rsidRPr="0015364B">
        <w:t xml:space="preserve">e </w:t>
      </w:r>
      <w:r w:rsidRPr="0015364B">
        <w:rPr>
          <w:b/>
        </w:rPr>
        <w:t>21 provjera provedbe naloga i preporuka</w:t>
      </w:r>
      <w:r w:rsidRPr="0015364B">
        <w:t xml:space="preserve"> na području županija i Grada Zagreba, odnosno naloga i preporuka danih 537 gradova i općina u reviziji učinkovitosti.</w:t>
      </w:r>
    </w:p>
    <w:p w14:paraId="73F8EED9" w14:textId="4910185C" w:rsidR="00790451" w:rsidRPr="0015364B" w:rsidRDefault="004B7970" w:rsidP="004B7970">
      <w:pPr>
        <w:kinsoku w:val="0"/>
        <w:overflowPunct w:val="0"/>
        <w:spacing w:before="1"/>
        <w:ind w:firstLine="567"/>
        <w:textAlignment w:val="baseline"/>
      </w:pPr>
      <w:r w:rsidRPr="0015364B">
        <w:t>Tijekom ovog izvještajnog razdoblja</w:t>
      </w:r>
      <w:r w:rsidR="0044093B" w:rsidRPr="0015364B">
        <w:t>,</w:t>
      </w:r>
      <w:r w:rsidRPr="0015364B">
        <w:t xml:space="preserve"> </w:t>
      </w:r>
      <w:r w:rsidR="0044093B" w:rsidRPr="0015364B">
        <w:t xml:space="preserve">kako bi se otklonile nepravilnosti i propusti utvrđeni revizijom, </w:t>
      </w:r>
      <w:r w:rsidRPr="0015364B">
        <w:t>s</w:t>
      </w:r>
      <w:r w:rsidR="0044093B" w:rsidRPr="0015364B">
        <w:t xml:space="preserve">ubjektima revizije </w:t>
      </w:r>
      <w:r w:rsidRPr="0015364B">
        <w:t xml:space="preserve">dano </w:t>
      </w:r>
      <w:r w:rsidR="00D5105D" w:rsidRPr="0015364B">
        <w:t xml:space="preserve">je </w:t>
      </w:r>
      <w:r w:rsidRPr="0015364B">
        <w:t>ukupno</w:t>
      </w:r>
      <w:r w:rsidR="00790451" w:rsidRPr="0015364B">
        <w:t xml:space="preserve"> </w:t>
      </w:r>
      <w:r w:rsidRPr="0015364B">
        <w:rPr>
          <w:b/>
        </w:rPr>
        <w:t>1 8</w:t>
      </w:r>
      <w:r w:rsidR="0044093B" w:rsidRPr="0015364B">
        <w:rPr>
          <w:b/>
        </w:rPr>
        <w:t>08</w:t>
      </w:r>
      <w:r w:rsidRPr="0015364B">
        <w:rPr>
          <w:b/>
        </w:rPr>
        <w:t xml:space="preserve"> naloga i preporuka</w:t>
      </w:r>
      <w:r w:rsidR="0044093B" w:rsidRPr="0015364B">
        <w:t>.</w:t>
      </w:r>
      <w:r w:rsidR="009927F0" w:rsidRPr="0015364B">
        <w:t xml:space="preserve"> </w:t>
      </w:r>
    </w:p>
    <w:p w14:paraId="32185F98" w14:textId="0E11D95F" w:rsidR="004B7970" w:rsidRDefault="0044093B" w:rsidP="004B7970">
      <w:pPr>
        <w:kinsoku w:val="0"/>
        <w:overflowPunct w:val="0"/>
        <w:spacing w:before="1"/>
        <w:ind w:firstLine="567"/>
        <w:textAlignment w:val="baseline"/>
      </w:pPr>
      <w:r>
        <w:t>P</w:t>
      </w:r>
      <w:r w:rsidR="004B7970" w:rsidRPr="004B7970">
        <w:t>rovjerena</w:t>
      </w:r>
      <w:r w:rsidR="004B7970" w:rsidRPr="00D404EE">
        <w:t xml:space="preserve"> </w:t>
      </w:r>
      <w:r w:rsidR="004B7970">
        <w:t xml:space="preserve">je </w:t>
      </w:r>
      <w:r w:rsidR="004B7970" w:rsidRPr="00D404EE">
        <w:t xml:space="preserve">provedba </w:t>
      </w:r>
      <w:r w:rsidR="004B7970">
        <w:t>sve</w:t>
      </w:r>
      <w:r w:rsidR="004B7970" w:rsidRPr="00D404EE">
        <w:t xml:space="preserve">ukupno </w:t>
      </w:r>
      <w:r w:rsidR="004B7970" w:rsidRPr="00A03014">
        <w:rPr>
          <w:b/>
        </w:rPr>
        <w:t>2 089 naloga i preporuka</w:t>
      </w:r>
      <w:r w:rsidR="004B7970" w:rsidRPr="00D404EE">
        <w:t xml:space="preserve"> te je utvrđeno da je proveden </w:t>
      </w:r>
      <w:r w:rsidR="004B7970" w:rsidRPr="00A03014">
        <w:rPr>
          <w:b/>
        </w:rPr>
        <w:t>1 461 ili 69,9 %</w:t>
      </w:r>
      <w:r w:rsidR="004B7970" w:rsidRPr="00D404EE">
        <w:t xml:space="preserve"> naloga i preporuka, djelomično su provedena 253 ili </w:t>
      </w:r>
      <w:r w:rsidR="00D30D27">
        <w:t>1</w:t>
      </w:r>
      <w:r w:rsidR="004B7970" w:rsidRPr="00D404EE">
        <w:t>2,1 %, u postupku provedbe je 47 ili 2,3 %, nije provedeno 239 ili 11,4 %, dok nije primjenjivo 89 ili 4,3 % naloga i preporuka, zbog promijenjenih propisa ili poslovnog okruženja</w:t>
      </w:r>
      <w:r w:rsidR="004B7970">
        <w:t xml:space="preserve">. </w:t>
      </w:r>
      <w:r w:rsidR="00790451">
        <w:t>U</w:t>
      </w:r>
      <w:r w:rsidR="00790451" w:rsidRPr="00A03014">
        <w:t xml:space="preserve"> odnosu na prijašnje godine</w:t>
      </w:r>
      <w:r w:rsidR="00790451">
        <w:t xml:space="preserve">, najveći udjel provedenih naloga i preporuka ostvaren je tijekom 2024., odnosno može se zaključiti da je </w:t>
      </w:r>
      <w:r w:rsidR="004B7970" w:rsidRPr="00A03014">
        <w:t>značajan broj subjekata revizije poduzimao aktivnosti na unaprjeđenju pravilnosti poslovanja</w:t>
      </w:r>
      <w:r w:rsidR="00790451">
        <w:t>.</w:t>
      </w:r>
    </w:p>
    <w:p w14:paraId="3F9A8404" w14:textId="77777777" w:rsidR="00790451" w:rsidRDefault="00790451" w:rsidP="004B7970">
      <w:pPr>
        <w:kinsoku w:val="0"/>
        <w:overflowPunct w:val="0"/>
        <w:spacing w:before="1"/>
        <w:ind w:firstLine="567"/>
        <w:textAlignment w:val="baseline"/>
      </w:pPr>
    </w:p>
    <w:p w14:paraId="453B2805" w14:textId="24545DE3" w:rsidR="00CF6941" w:rsidRDefault="00CF6941" w:rsidP="004B7970">
      <w:pPr>
        <w:kinsoku w:val="0"/>
        <w:overflowPunct w:val="0"/>
        <w:ind w:right="3" w:firstLine="567"/>
        <w:rPr>
          <w:rFonts w:cs="Arial"/>
        </w:rPr>
      </w:pPr>
      <w:r w:rsidRPr="00CF6941">
        <w:rPr>
          <w:rFonts w:cs="Arial"/>
        </w:rPr>
        <w:t xml:space="preserve">Sva konačna izvješća o obavljenoj reviziji </w:t>
      </w:r>
      <w:r w:rsidR="00132B58">
        <w:rPr>
          <w:rFonts w:cs="Arial"/>
        </w:rPr>
        <w:t xml:space="preserve">i </w:t>
      </w:r>
      <w:r w:rsidRPr="00CF6941">
        <w:rPr>
          <w:rFonts w:cs="Arial"/>
        </w:rPr>
        <w:t>obavljenoj provjeri provedbe naloga i preporuka</w:t>
      </w:r>
      <w:r w:rsidR="003629F7">
        <w:rPr>
          <w:rFonts w:cs="Arial"/>
        </w:rPr>
        <w:t xml:space="preserve"> su</w:t>
      </w:r>
      <w:r w:rsidRPr="00CF6941">
        <w:rPr>
          <w:rFonts w:cs="Arial"/>
        </w:rPr>
        <w:t xml:space="preserve">, </w:t>
      </w:r>
      <w:r w:rsidR="003629F7">
        <w:rPr>
          <w:rFonts w:cs="Arial"/>
        </w:rPr>
        <w:t xml:space="preserve">tijekom ovog izvještajnog razdoblja, </w:t>
      </w:r>
      <w:r w:rsidRPr="00CF6941">
        <w:rPr>
          <w:rFonts w:cs="Arial"/>
        </w:rPr>
        <w:t xml:space="preserve">osim Hrvatskom saboru, dostavljena i Državnom odvjetništvu Republike Hrvatske te objavljena na mrežnim stranicama </w:t>
      </w:r>
      <w:r w:rsidRPr="004B7970">
        <w:rPr>
          <w:rFonts w:cs="Arial"/>
        </w:rPr>
        <w:t xml:space="preserve">Ureda, </w:t>
      </w:r>
      <w:r w:rsidRPr="00CF6941">
        <w:rPr>
          <w:rFonts w:cs="Arial"/>
        </w:rPr>
        <w:t>u skladu s odredbama Zakona o Državnom uredu za reviziju i Zakona o pravu na pristup informacijama (Narodne novine 25/13, 85/15 i 69/22).</w:t>
      </w:r>
    </w:p>
    <w:p w14:paraId="53A297DE" w14:textId="1FA907A7" w:rsidR="005027B3" w:rsidRDefault="005027B3" w:rsidP="004B7970">
      <w:pPr>
        <w:kinsoku w:val="0"/>
        <w:overflowPunct w:val="0"/>
        <w:ind w:right="3" w:firstLine="567"/>
        <w:rPr>
          <w:rFonts w:cs="Arial"/>
        </w:rPr>
      </w:pPr>
    </w:p>
    <w:p w14:paraId="329749A4" w14:textId="70F0E65A" w:rsidR="005027B3" w:rsidRDefault="005027B3" w:rsidP="004B7970">
      <w:pPr>
        <w:kinsoku w:val="0"/>
        <w:overflowPunct w:val="0"/>
        <w:ind w:right="3" w:firstLine="567"/>
        <w:rPr>
          <w:rFonts w:cs="Arial"/>
        </w:rPr>
      </w:pPr>
    </w:p>
    <w:p w14:paraId="64C1F95D" w14:textId="77777777" w:rsidR="005027B3" w:rsidRPr="00CF6941" w:rsidRDefault="005027B3" w:rsidP="004B7970">
      <w:pPr>
        <w:kinsoku w:val="0"/>
        <w:overflowPunct w:val="0"/>
        <w:ind w:right="3" w:firstLine="567"/>
        <w:rPr>
          <w:rFonts w:cs="Arial"/>
        </w:rPr>
      </w:pPr>
    </w:p>
    <w:p w14:paraId="3BBC0C8E" w14:textId="09A1B8E2" w:rsidR="00475AB9" w:rsidRPr="00A002BA" w:rsidRDefault="000E1DCD" w:rsidP="00956F8D">
      <w:pPr>
        <w:tabs>
          <w:tab w:val="left" w:pos="284"/>
          <w:tab w:val="left" w:pos="567"/>
          <w:tab w:val="left" w:pos="851"/>
        </w:tabs>
        <w:ind w:firstLine="567"/>
        <w:rPr>
          <w:rFonts w:cs="Arial"/>
          <w:i/>
          <w:color w:val="000000" w:themeColor="text1"/>
        </w:rPr>
      </w:pPr>
      <w:r>
        <w:rPr>
          <w:rFonts w:cs="Arial"/>
          <w:i/>
          <w:color w:val="000000" w:themeColor="text1"/>
        </w:rPr>
        <w:lastRenderedPageBreak/>
        <w:t>U nastavku se daju</w:t>
      </w:r>
      <w:r w:rsidR="00475AB9" w:rsidRPr="00A002BA">
        <w:rPr>
          <w:rFonts w:cs="Arial"/>
          <w:i/>
          <w:color w:val="000000" w:themeColor="text1"/>
        </w:rPr>
        <w:t xml:space="preserve"> </w:t>
      </w:r>
      <w:r>
        <w:rPr>
          <w:rFonts w:cs="Arial"/>
          <w:i/>
          <w:color w:val="000000" w:themeColor="text1"/>
        </w:rPr>
        <w:t>značajnije informacije o</w:t>
      </w:r>
      <w:r w:rsidR="00475AB9" w:rsidRPr="00A002BA">
        <w:rPr>
          <w:rFonts w:cs="Arial"/>
          <w:i/>
          <w:color w:val="000000" w:themeColor="text1"/>
        </w:rPr>
        <w:t xml:space="preserve"> obavljeni</w:t>
      </w:r>
      <w:r>
        <w:rPr>
          <w:rFonts w:cs="Arial"/>
          <w:i/>
          <w:color w:val="000000" w:themeColor="text1"/>
        </w:rPr>
        <w:t>m</w:t>
      </w:r>
      <w:r w:rsidR="00475AB9" w:rsidRPr="00A002BA">
        <w:rPr>
          <w:rFonts w:cs="Arial"/>
          <w:i/>
          <w:color w:val="000000" w:themeColor="text1"/>
        </w:rPr>
        <w:t xml:space="preserve"> revizija</w:t>
      </w:r>
      <w:r>
        <w:rPr>
          <w:rFonts w:cs="Arial"/>
          <w:i/>
          <w:color w:val="000000" w:themeColor="text1"/>
        </w:rPr>
        <w:t>ma</w:t>
      </w:r>
      <w:r w:rsidR="00475AB9" w:rsidRPr="00A002BA">
        <w:rPr>
          <w:rFonts w:cs="Arial"/>
          <w:i/>
          <w:color w:val="000000" w:themeColor="text1"/>
        </w:rPr>
        <w:t xml:space="preserve"> i provjera</w:t>
      </w:r>
      <w:r>
        <w:rPr>
          <w:rFonts w:cs="Arial"/>
          <w:i/>
          <w:color w:val="000000" w:themeColor="text1"/>
        </w:rPr>
        <w:t>ma</w:t>
      </w:r>
      <w:r w:rsidR="00475AB9" w:rsidRPr="00A002BA">
        <w:rPr>
          <w:rFonts w:cs="Arial"/>
          <w:i/>
          <w:color w:val="000000" w:themeColor="text1"/>
        </w:rPr>
        <w:t xml:space="preserve"> proved</w:t>
      </w:r>
      <w:r>
        <w:rPr>
          <w:rFonts w:cs="Arial"/>
          <w:i/>
          <w:color w:val="000000" w:themeColor="text1"/>
        </w:rPr>
        <w:t>be naloga i preporuka,</w:t>
      </w:r>
      <w:r w:rsidR="00475AB9" w:rsidRPr="00A002BA">
        <w:rPr>
          <w:rFonts w:cs="Arial"/>
          <w:i/>
          <w:color w:val="000000" w:themeColor="text1"/>
        </w:rPr>
        <w:t xml:space="preserve"> </w:t>
      </w:r>
      <w:r>
        <w:rPr>
          <w:rFonts w:cs="Arial"/>
          <w:i/>
          <w:color w:val="000000" w:themeColor="text1"/>
        </w:rPr>
        <w:t>p</w:t>
      </w:r>
      <w:r w:rsidR="00475AB9" w:rsidRPr="00A002BA">
        <w:rPr>
          <w:rFonts w:cs="Arial"/>
          <w:i/>
          <w:color w:val="000000" w:themeColor="text1"/>
        </w:rPr>
        <w:t>o vrsti revizije i subjektima revizije</w:t>
      </w:r>
      <w:r w:rsidR="00E17961">
        <w:rPr>
          <w:rFonts w:cs="Arial"/>
          <w:i/>
          <w:color w:val="000000" w:themeColor="text1"/>
        </w:rPr>
        <w:t>,</w:t>
      </w:r>
      <w:r w:rsidR="00475AB9" w:rsidRPr="00A002BA">
        <w:rPr>
          <w:rFonts w:cs="Arial"/>
          <w:i/>
          <w:color w:val="000000" w:themeColor="text1"/>
        </w:rPr>
        <w:t xml:space="preserve"> za koje su Hrvatskom saboru danas dostavljena izvješća.</w:t>
      </w:r>
    </w:p>
    <w:p w14:paraId="383A81D9" w14:textId="77777777" w:rsidR="00475AB9" w:rsidRPr="00976767" w:rsidRDefault="00475AB9" w:rsidP="00EE3381">
      <w:pPr>
        <w:tabs>
          <w:tab w:val="left" w:pos="284"/>
          <w:tab w:val="left" w:pos="567"/>
          <w:tab w:val="left" w:pos="851"/>
        </w:tabs>
        <w:rPr>
          <w:rFonts w:cs="Arial"/>
          <w:color w:val="365F91" w:themeColor="accent1" w:themeShade="BF"/>
        </w:rPr>
      </w:pPr>
    </w:p>
    <w:p w14:paraId="37943FA5" w14:textId="1F33ACC2" w:rsidR="00475AB9" w:rsidRDefault="00475AB9" w:rsidP="00EE3381">
      <w:pPr>
        <w:tabs>
          <w:tab w:val="left" w:pos="284"/>
          <w:tab w:val="left" w:pos="567"/>
          <w:tab w:val="left" w:pos="851"/>
        </w:tabs>
        <w:ind w:left="567" w:hanging="567"/>
        <w:rPr>
          <w:rFonts w:cs="Arial"/>
          <w:color w:val="365F91" w:themeColor="accent1" w:themeShade="BF"/>
        </w:rPr>
      </w:pPr>
    </w:p>
    <w:p w14:paraId="049D4636" w14:textId="1BA21066" w:rsidR="000E1DCD" w:rsidRPr="002B2252" w:rsidRDefault="00A036F9" w:rsidP="00956F8D">
      <w:pPr>
        <w:shd w:val="clear" w:color="auto" w:fill="D9D9D9" w:themeFill="background1" w:themeFillShade="D9"/>
        <w:tabs>
          <w:tab w:val="left" w:pos="284"/>
          <w:tab w:val="left" w:pos="567"/>
          <w:tab w:val="left" w:pos="851"/>
        </w:tabs>
        <w:ind w:left="567" w:hanging="567"/>
        <w:rPr>
          <w:rFonts w:cs="Arial"/>
          <w:b/>
        </w:rPr>
      </w:pPr>
      <w:r>
        <w:rPr>
          <w:rFonts w:cs="Arial"/>
          <w:b/>
        </w:rPr>
        <w:tab/>
      </w:r>
      <w:r>
        <w:rPr>
          <w:rFonts w:cs="Arial"/>
          <w:b/>
        </w:rPr>
        <w:tab/>
      </w:r>
      <w:r w:rsidR="000E1DCD" w:rsidRPr="002B2252">
        <w:rPr>
          <w:rFonts w:cs="Arial"/>
          <w:b/>
        </w:rPr>
        <w:t>FINANCIJSKE REVIZIJE</w:t>
      </w:r>
    </w:p>
    <w:p w14:paraId="3AE2929C" w14:textId="5DCAD477" w:rsidR="000E1DCD" w:rsidRDefault="000E1DCD" w:rsidP="00EE3381">
      <w:pPr>
        <w:tabs>
          <w:tab w:val="left" w:pos="284"/>
          <w:tab w:val="left" w:pos="567"/>
          <w:tab w:val="left" w:pos="851"/>
        </w:tabs>
        <w:ind w:left="567" w:hanging="567"/>
        <w:rPr>
          <w:rFonts w:cs="Arial"/>
          <w:color w:val="365F91" w:themeColor="accent1" w:themeShade="BF"/>
        </w:rPr>
      </w:pPr>
    </w:p>
    <w:p w14:paraId="11DF6C1F" w14:textId="0EEE1CD8" w:rsidR="004B7970" w:rsidRDefault="004B7970" w:rsidP="004B7970">
      <w:pPr>
        <w:kinsoku w:val="0"/>
        <w:overflowPunct w:val="0"/>
        <w:spacing w:before="1"/>
        <w:ind w:firstLine="567"/>
        <w:textAlignment w:val="baseline"/>
      </w:pPr>
      <w:r w:rsidRPr="00A33D35">
        <w:t>Financijskom revizijom provjeravaju se financijski izvještaji i usklađenost poslovanja</w:t>
      </w:r>
      <w:r w:rsidR="00A33D35" w:rsidRPr="00A33D35">
        <w:t>, u cilju izražavanja mišljenja jesu li financijski izvještaji u svim značajnim odrednicama sastavljeni</w:t>
      </w:r>
      <w:r w:rsidR="00A33D35">
        <w:t xml:space="preserve"> u skladu s primjenjivim okvirom financijskog izvještavanja, a poslovanje usklađeno sa zakonima, drugim propisima i unutarnjim aktima značajnima za poslovanje subjekta revizije</w:t>
      </w:r>
      <w:r w:rsidRPr="002F104A">
        <w:t>.</w:t>
      </w:r>
      <w:r w:rsidR="006D35FC">
        <w:rPr>
          <w:b/>
        </w:rPr>
        <w:t xml:space="preserve"> </w:t>
      </w:r>
      <w:r w:rsidR="006D35FC">
        <w:t>Izražavaju se dva mišljenja, o financijskim izvještajima i o uskl</w:t>
      </w:r>
      <w:r w:rsidR="005027B3">
        <w:t>ađenosti poslovanja, a mišljenja mogu</w:t>
      </w:r>
      <w:r w:rsidR="006D35FC">
        <w:t xml:space="preserve"> biti: bezuvjetno, uvjetno, nepovoljno</w:t>
      </w:r>
      <w:r w:rsidR="00DB5935">
        <w:t>, suzdržano</w:t>
      </w:r>
      <w:r w:rsidR="006D35FC">
        <w:t>.</w:t>
      </w:r>
    </w:p>
    <w:p w14:paraId="5FD53FAB" w14:textId="77777777" w:rsidR="00072491" w:rsidRDefault="00072491" w:rsidP="004B7970">
      <w:pPr>
        <w:kinsoku w:val="0"/>
        <w:overflowPunct w:val="0"/>
        <w:spacing w:before="1"/>
        <w:ind w:firstLine="567"/>
        <w:textAlignment w:val="baseline"/>
      </w:pPr>
    </w:p>
    <w:p w14:paraId="4945B28B" w14:textId="77777777" w:rsidR="004B7970" w:rsidRPr="00976767" w:rsidRDefault="004B7970" w:rsidP="00EA2F7A">
      <w:pPr>
        <w:tabs>
          <w:tab w:val="left" w:pos="284"/>
          <w:tab w:val="left" w:pos="567"/>
          <w:tab w:val="left" w:pos="851"/>
        </w:tabs>
        <w:ind w:left="567" w:hanging="567"/>
        <w:rPr>
          <w:rFonts w:cs="Arial"/>
          <w:color w:val="365F91" w:themeColor="accent1" w:themeShade="BF"/>
        </w:rPr>
      </w:pPr>
    </w:p>
    <w:p w14:paraId="4BAECFA9" w14:textId="42585993" w:rsidR="00961E98" w:rsidRPr="00A036F9" w:rsidRDefault="00A036F9" w:rsidP="00EA2F7A">
      <w:pPr>
        <w:tabs>
          <w:tab w:val="left" w:pos="0"/>
          <w:tab w:val="left" w:pos="567"/>
        </w:tabs>
        <w:rPr>
          <w:b/>
        </w:rPr>
      </w:pPr>
      <w:r w:rsidRPr="00A036F9">
        <w:rPr>
          <w:b/>
        </w:rPr>
        <w:t>–</w:t>
      </w:r>
      <w:r>
        <w:rPr>
          <w:b/>
        </w:rPr>
        <w:tab/>
      </w:r>
      <w:r w:rsidR="00132B58">
        <w:rPr>
          <w:b/>
        </w:rPr>
        <w:t xml:space="preserve">PRORAČUNSKI </w:t>
      </w:r>
      <w:r w:rsidRPr="00A036F9">
        <w:rPr>
          <w:b/>
        </w:rPr>
        <w:t xml:space="preserve">KORISNICI DRŽAVNOG PRORAČUNA </w:t>
      </w:r>
    </w:p>
    <w:p w14:paraId="0C616E40" w14:textId="77777777" w:rsidR="00961E98" w:rsidRPr="003B4E3F" w:rsidRDefault="00961E98" w:rsidP="00EE3381">
      <w:pPr>
        <w:tabs>
          <w:tab w:val="left" w:pos="0"/>
        </w:tabs>
      </w:pPr>
    </w:p>
    <w:p w14:paraId="203F2D8F" w14:textId="18C2DFB5" w:rsidR="00132B58" w:rsidRPr="00132B58" w:rsidRDefault="000E1DCD" w:rsidP="00132B58">
      <w:pPr>
        <w:tabs>
          <w:tab w:val="left" w:pos="284"/>
          <w:tab w:val="left" w:pos="567"/>
          <w:tab w:val="left" w:pos="851"/>
        </w:tabs>
      </w:pPr>
      <w:bookmarkStart w:id="0" w:name="_Toc477941783"/>
      <w:r w:rsidRPr="000E1DCD">
        <w:tab/>
      </w:r>
      <w:r w:rsidRPr="007A14C0">
        <w:rPr>
          <w:color w:val="17365D" w:themeColor="text2" w:themeShade="BF"/>
        </w:rPr>
        <w:tab/>
      </w:r>
      <w:r w:rsidR="004B1186">
        <w:t>Ured je obavio financijsku reviziju</w:t>
      </w:r>
      <w:r w:rsidR="00132B58" w:rsidRPr="00132B58">
        <w:t xml:space="preserve"> </w:t>
      </w:r>
      <w:r w:rsidR="00132B58" w:rsidRPr="00245314">
        <w:rPr>
          <w:b/>
        </w:rPr>
        <w:t>šest proračunskih korisnika državnog proračuna</w:t>
      </w:r>
      <w:r w:rsidR="00132B58" w:rsidRPr="00132B58">
        <w:t xml:space="preserve"> kojima su obuhvaćeni financijski izvještaji te poslovanje za 2023. </w:t>
      </w:r>
    </w:p>
    <w:p w14:paraId="32C396E6" w14:textId="77777777" w:rsidR="00132B58" w:rsidRPr="00132B58" w:rsidRDefault="00132B58" w:rsidP="00132B58">
      <w:pPr>
        <w:tabs>
          <w:tab w:val="left" w:pos="284"/>
          <w:tab w:val="left" w:pos="567"/>
          <w:tab w:val="left" w:pos="851"/>
        </w:tabs>
      </w:pPr>
    </w:p>
    <w:p w14:paraId="32FC29C2" w14:textId="5B3D4A31" w:rsidR="000E1DCD" w:rsidRPr="000E1DCD" w:rsidRDefault="00132B58" w:rsidP="00EE3381">
      <w:pPr>
        <w:tabs>
          <w:tab w:val="left" w:pos="284"/>
          <w:tab w:val="left" w:pos="567"/>
          <w:tab w:val="left" w:pos="851"/>
        </w:tabs>
      </w:pPr>
      <w:r w:rsidRPr="00132B58">
        <w:tab/>
      </w:r>
      <w:r w:rsidR="00EA2F7A">
        <w:tab/>
      </w:r>
      <w:r w:rsidRPr="00132B58">
        <w:t>Obavljene su revizije:</w:t>
      </w:r>
    </w:p>
    <w:p w14:paraId="6C5F33AB" w14:textId="5B0C2875" w:rsidR="000E1DCD" w:rsidRPr="00E17961" w:rsidRDefault="00E17961" w:rsidP="00EE3381">
      <w:pPr>
        <w:tabs>
          <w:tab w:val="left" w:pos="567"/>
          <w:tab w:val="left" w:pos="851"/>
        </w:tabs>
        <w:rPr>
          <w:rFonts w:eastAsia="Calibri" w:cs="Arial"/>
        </w:rPr>
      </w:pPr>
      <w:r>
        <w:rPr>
          <w:rFonts w:eastAsia="Calibri" w:cs="Arial"/>
        </w:rPr>
        <w:t>–</w:t>
      </w:r>
      <w:r>
        <w:rPr>
          <w:rFonts w:eastAsia="Calibri" w:cs="Arial"/>
        </w:rPr>
        <w:tab/>
      </w:r>
      <w:r w:rsidR="000E1DCD" w:rsidRPr="00E17961">
        <w:rPr>
          <w:rFonts w:eastAsia="Calibri" w:cs="Arial"/>
        </w:rPr>
        <w:t>Ministarstva prostornoga uređenja, graditeljstva i državne imovine</w:t>
      </w:r>
    </w:p>
    <w:p w14:paraId="1B4E0E26" w14:textId="77777777" w:rsidR="000E1DCD" w:rsidRPr="000E1DCD" w:rsidRDefault="000E1DCD" w:rsidP="007F5618">
      <w:pPr>
        <w:widowControl/>
        <w:numPr>
          <w:ilvl w:val="0"/>
          <w:numId w:val="5"/>
        </w:numPr>
        <w:tabs>
          <w:tab w:val="left" w:pos="567"/>
          <w:tab w:val="left" w:pos="851"/>
        </w:tabs>
        <w:autoSpaceDE/>
        <w:autoSpaceDN/>
        <w:adjustRightInd/>
        <w:spacing w:after="200"/>
        <w:ind w:hanging="1080"/>
        <w:contextualSpacing/>
        <w:jc w:val="left"/>
        <w:rPr>
          <w:rFonts w:eastAsia="Calibri" w:cs="Arial"/>
          <w:lang w:eastAsia="en-US"/>
        </w:rPr>
      </w:pPr>
      <w:r w:rsidRPr="000E1DCD">
        <w:rPr>
          <w:rFonts w:eastAsia="Calibri" w:cs="Arial"/>
          <w:lang w:eastAsia="en-US"/>
        </w:rPr>
        <w:t>Ministarstva znanosti i obrazovanja</w:t>
      </w:r>
    </w:p>
    <w:p w14:paraId="1C81985B" w14:textId="77777777" w:rsidR="000E1DCD" w:rsidRPr="000E1DCD" w:rsidRDefault="000E1DCD" w:rsidP="007F5618">
      <w:pPr>
        <w:widowControl/>
        <w:numPr>
          <w:ilvl w:val="0"/>
          <w:numId w:val="5"/>
        </w:numPr>
        <w:tabs>
          <w:tab w:val="left" w:pos="567"/>
          <w:tab w:val="left" w:pos="851"/>
        </w:tabs>
        <w:autoSpaceDE/>
        <w:autoSpaceDN/>
        <w:adjustRightInd/>
        <w:spacing w:after="200"/>
        <w:ind w:hanging="1080"/>
        <w:contextualSpacing/>
        <w:jc w:val="left"/>
        <w:rPr>
          <w:rFonts w:eastAsia="Calibri" w:cs="Arial"/>
          <w:lang w:eastAsia="en-US"/>
        </w:rPr>
      </w:pPr>
      <w:r w:rsidRPr="000E1DCD">
        <w:rPr>
          <w:rFonts w:eastAsia="Calibri" w:cs="Arial"/>
          <w:lang w:eastAsia="en-US"/>
        </w:rPr>
        <w:t>Ministarstva hrvatskih branitelja</w:t>
      </w:r>
    </w:p>
    <w:p w14:paraId="32BE98A7" w14:textId="77777777" w:rsidR="000E1DCD" w:rsidRPr="000E1DCD" w:rsidRDefault="000E1DCD" w:rsidP="007F5618">
      <w:pPr>
        <w:widowControl/>
        <w:numPr>
          <w:ilvl w:val="0"/>
          <w:numId w:val="5"/>
        </w:numPr>
        <w:tabs>
          <w:tab w:val="left" w:pos="567"/>
          <w:tab w:val="left" w:pos="851"/>
        </w:tabs>
        <w:autoSpaceDE/>
        <w:autoSpaceDN/>
        <w:adjustRightInd/>
        <w:spacing w:after="200"/>
        <w:ind w:hanging="1080"/>
        <w:contextualSpacing/>
        <w:jc w:val="left"/>
        <w:rPr>
          <w:rFonts w:eastAsia="Calibri" w:cs="Arial"/>
          <w:lang w:eastAsia="en-US"/>
        </w:rPr>
      </w:pPr>
      <w:r w:rsidRPr="000E1DCD">
        <w:rPr>
          <w:rFonts w:eastAsia="Calibri" w:cs="Arial"/>
          <w:lang w:eastAsia="en-US"/>
        </w:rPr>
        <w:t>Ministarstva regionalnoga razvoja i fondova Europske unije</w:t>
      </w:r>
    </w:p>
    <w:p w14:paraId="54F2FDFB" w14:textId="77777777" w:rsidR="000E1DCD" w:rsidRPr="000E1DCD" w:rsidRDefault="000E1DCD" w:rsidP="007F5618">
      <w:pPr>
        <w:widowControl/>
        <w:numPr>
          <w:ilvl w:val="0"/>
          <w:numId w:val="5"/>
        </w:numPr>
        <w:tabs>
          <w:tab w:val="left" w:pos="567"/>
          <w:tab w:val="left" w:pos="851"/>
        </w:tabs>
        <w:autoSpaceDE/>
        <w:autoSpaceDN/>
        <w:adjustRightInd/>
        <w:spacing w:after="200"/>
        <w:ind w:hanging="1080"/>
        <w:contextualSpacing/>
        <w:jc w:val="left"/>
        <w:rPr>
          <w:rFonts w:eastAsia="Calibri" w:cs="Arial"/>
          <w:lang w:eastAsia="en-US"/>
        </w:rPr>
      </w:pPr>
      <w:r w:rsidRPr="000E1DCD">
        <w:rPr>
          <w:rFonts w:eastAsia="Calibri" w:cs="Arial"/>
          <w:lang w:eastAsia="en-US"/>
        </w:rPr>
        <w:t>Ministarstva unutarnjih poslova te</w:t>
      </w:r>
    </w:p>
    <w:p w14:paraId="090672AF" w14:textId="74099CA1" w:rsidR="000E1DCD" w:rsidRDefault="000E1DCD" w:rsidP="007F5618">
      <w:pPr>
        <w:widowControl/>
        <w:numPr>
          <w:ilvl w:val="0"/>
          <w:numId w:val="5"/>
        </w:numPr>
        <w:tabs>
          <w:tab w:val="left" w:pos="567"/>
          <w:tab w:val="left" w:pos="851"/>
        </w:tabs>
        <w:autoSpaceDE/>
        <w:autoSpaceDN/>
        <w:adjustRightInd/>
        <w:spacing w:after="200"/>
        <w:ind w:hanging="1080"/>
        <w:contextualSpacing/>
        <w:jc w:val="left"/>
        <w:rPr>
          <w:rFonts w:eastAsia="Calibri" w:cs="Arial"/>
          <w:lang w:eastAsia="en-US"/>
        </w:rPr>
      </w:pPr>
      <w:r w:rsidRPr="000E1DCD">
        <w:rPr>
          <w:rFonts w:eastAsia="Calibri" w:cs="Arial"/>
          <w:lang w:eastAsia="en-US"/>
        </w:rPr>
        <w:t>Ministarstva vanjskih i europskih poslova</w:t>
      </w:r>
      <w:r w:rsidR="003D74FC">
        <w:rPr>
          <w:rFonts w:eastAsia="Calibri" w:cs="Arial"/>
          <w:lang w:eastAsia="en-US"/>
        </w:rPr>
        <w:t>.</w:t>
      </w:r>
    </w:p>
    <w:p w14:paraId="4CF91014" w14:textId="77777777" w:rsidR="00E17961" w:rsidRPr="000E1DCD" w:rsidRDefault="00E17961" w:rsidP="00EE3381">
      <w:pPr>
        <w:widowControl/>
        <w:tabs>
          <w:tab w:val="left" w:pos="567"/>
          <w:tab w:val="left" w:pos="851"/>
        </w:tabs>
        <w:autoSpaceDE/>
        <w:autoSpaceDN/>
        <w:adjustRightInd/>
        <w:spacing w:after="200"/>
        <w:ind w:left="1080"/>
        <w:contextualSpacing/>
        <w:jc w:val="left"/>
        <w:rPr>
          <w:rFonts w:eastAsia="Calibri" w:cs="Arial"/>
          <w:lang w:eastAsia="en-US"/>
        </w:rPr>
      </w:pPr>
    </w:p>
    <w:p w14:paraId="576A57A6" w14:textId="767DE17E" w:rsidR="000E1DCD" w:rsidRPr="000E1DCD" w:rsidRDefault="00E17961" w:rsidP="00EE3381">
      <w:pPr>
        <w:ind w:firstLine="567"/>
        <w:rPr>
          <w:b/>
        </w:rPr>
      </w:pPr>
      <w:r w:rsidRPr="00E17961">
        <w:rPr>
          <w:b/>
        </w:rPr>
        <w:t>Ciljevi revizije</w:t>
      </w:r>
      <w:r w:rsidR="000E1DCD" w:rsidRPr="000E1DCD">
        <w:rPr>
          <w:b/>
        </w:rPr>
        <w:t xml:space="preserve"> bili su:</w:t>
      </w:r>
    </w:p>
    <w:p w14:paraId="25B15E5D" w14:textId="5F139F51" w:rsidR="000E1DCD" w:rsidRPr="000E1DCD" w:rsidRDefault="000E1DCD" w:rsidP="00EE33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szCs w:val="20"/>
        </w:rPr>
      </w:pPr>
      <w:r w:rsidRPr="000E1DCD">
        <w:rPr>
          <w:szCs w:val="20"/>
        </w:rPr>
        <w:t>–</w:t>
      </w:r>
      <w:r>
        <w:rPr>
          <w:szCs w:val="20"/>
        </w:rPr>
        <w:tab/>
      </w:r>
      <w:r w:rsidRPr="000E1DCD">
        <w:rPr>
          <w:szCs w:val="20"/>
        </w:rPr>
        <w:t xml:space="preserve">provjeriti istinitost i vjerodostojnost financijskih izvještaja </w:t>
      </w:r>
    </w:p>
    <w:p w14:paraId="207DCE35" w14:textId="627E75F7" w:rsidR="000E1DCD" w:rsidRPr="000E1DCD" w:rsidRDefault="000E1DCD" w:rsidP="00EE33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0E1DCD">
        <w:rPr>
          <w:szCs w:val="20"/>
        </w:rPr>
        <w:t>–</w:t>
      </w:r>
      <w:r>
        <w:rPr>
          <w:szCs w:val="20"/>
        </w:rPr>
        <w:tab/>
      </w:r>
      <w:r w:rsidRPr="000E1DCD">
        <w:rPr>
          <w:rFonts w:cs="Arial"/>
        </w:rPr>
        <w:t xml:space="preserve">provjeriti ostvarenje prihoda i primitaka te rashoda i izdataka u skladu s planiranim aktivnostima i namjenama </w:t>
      </w:r>
    </w:p>
    <w:p w14:paraId="1B9A6EDD" w14:textId="77777777" w:rsidR="000E1DCD" w:rsidRPr="000E1DCD" w:rsidRDefault="000E1DCD" w:rsidP="007F5618">
      <w:pPr>
        <w:pStyle w:val="Odlomakpopisa"/>
        <w:numPr>
          <w:ilvl w:val="0"/>
          <w:numId w:val="5"/>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rFonts w:ascii="Arial" w:hAnsi="Arial" w:cs="Arial"/>
          <w:sz w:val="24"/>
          <w:szCs w:val="24"/>
        </w:rPr>
      </w:pPr>
      <w:r w:rsidRPr="000E1DCD">
        <w:rPr>
          <w:rFonts w:ascii="Arial" w:hAnsi="Arial" w:cs="Arial"/>
          <w:sz w:val="24"/>
          <w:szCs w:val="24"/>
        </w:rPr>
        <w:t xml:space="preserve">provjeriti usklađenost poslovanja sa zakonima i drugim propisima koji imaju značajan utjecaj na financijsko poslovanje </w:t>
      </w:r>
    </w:p>
    <w:p w14:paraId="5BF77F65" w14:textId="77777777" w:rsidR="000E1DCD" w:rsidRPr="000E1DCD" w:rsidRDefault="000E1DCD" w:rsidP="007F5618">
      <w:pPr>
        <w:pStyle w:val="Odlomakpopisa"/>
        <w:numPr>
          <w:ilvl w:val="0"/>
          <w:numId w:val="5"/>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rFonts w:ascii="Arial" w:hAnsi="Arial" w:cs="Arial"/>
          <w:sz w:val="24"/>
          <w:szCs w:val="24"/>
        </w:rPr>
      </w:pPr>
      <w:r w:rsidRPr="000E1DCD">
        <w:rPr>
          <w:rFonts w:ascii="Arial" w:hAnsi="Arial" w:cs="Arial"/>
          <w:sz w:val="24"/>
          <w:szCs w:val="24"/>
        </w:rPr>
        <w:t>provjeriti provedbu naloga i preporuka iz prošle revizije</w:t>
      </w:r>
    </w:p>
    <w:p w14:paraId="1DC42F4B" w14:textId="319FD692" w:rsidR="000E1DCD" w:rsidRPr="000E1DCD" w:rsidRDefault="000E1DCD" w:rsidP="007F5618">
      <w:pPr>
        <w:pStyle w:val="Odlomakpopisa"/>
        <w:numPr>
          <w:ilvl w:val="0"/>
          <w:numId w:val="5"/>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rFonts w:ascii="Arial" w:hAnsi="Arial" w:cs="Arial"/>
          <w:sz w:val="24"/>
          <w:szCs w:val="24"/>
        </w:rPr>
      </w:pPr>
      <w:r w:rsidRPr="000E1DCD">
        <w:rPr>
          <w:rFonts w:ascii="Arial" w:hAnsi="Arial" w:cs="Arial"/>
          <w:sz w:val="24"/>
          <w:szCs w:val="24"/>
        </w:rPr>
        <w:t>provjeriti druge aktivnosti u vezi s poslovanjem.</w:t>
      </w:r>
    </w:p>
    <w:p w14:paraId="3ACAA9FC" w14:textId="5DCCC19D" w:rsidR="000E1DCD" w:rsidRPr="000E1DCD" w:rsidRDefault="000E1DCD" w:rsidP="00EE3381">
      <w:pPr>
        <w:tabs>
          <w:tab w:val="left" w:pos="284"/>
          <w:tab w:val="left" w:pos="567"/>
          <w:tab w:val="left" w:pos="851"/>
        </w:tabs>
        <w:rPr>
          <w:b/>
        </w:rPr>
      </w:pPr>
      <w:r w:rsidRPr="000E1DCD">
        <w:tab/>
      </w:r>
      <w:r w:rsidRPr="000E1DCD">
        <w:tab/>
        <w:t>O financijskim izvještajima</w:t>
      </w:r>
      <w:r w:rsidR="00D5105D">
        <w:t>,</w:t>
      </w:r>
      <w:r w:rsidRPr="000E1DCD">
        <w:t xml:space="preserve"> kao i o usklađenosti poslovanja izraženo je </w:t>
      </w:r>
      <w:r w:rsidRPr="000E1DCD">
        <w:rPr>
          <w:b/>
        </w:rPr>
        <w:t xml:space="preserve">pet bezuvjetnih </w:t>
      </w:r>
      <w:r w:rsidR="007A14C0">
        <w:rPr>
          <w:b/>
        </w:rPr>
        <w:t xml:space="preserve">i </w:t>
      </w:r>
      <w:r w:rsidRPr="000E1DCD">
        <w:rPr>
          <w:b/>
        </w:rPr>
        <w:t xml:space="preserve">jedno uvjetno mišljenje.  </w:t>
      </w:r>
    </w:p>
    <w:p w14:paraId="0BE7F1D5" w14:textId="77777777" w:rsidR="000E1DCD" w:rsidRPr="000E1DCD" w:rsidRDefault="000E1DCD" w:rsidP="00EE3381">
      <w:pPr>
        <w:tabs>
          <w:tab w:val="left" w:pos="284"/>
          <w:tab w:val="left" w:pos="567"/>
          <w:tab w:val="left" w:pos="851"/>
        </w:tabs>
      </w:pPr>
    </w:p>
    <w:p w14:paraId="5C351E37" w14:textId="79EE7B11" w:rsidR="000E1DCD" w:rsidRPr="000E1DCD" w:rsidRDefault="000E1DCD" w:rsidP="00EE3381">
      <w:pPr>
        <w:tabs>
          <w:tab w:val="left" w:pos="284"/>
          <w:tab w:val="left" w:pos="567"/>
          <w:tab w:val="left" w:pos="851"/>
        </w:tabs>
      </w:pPr>
      <w:r w:rsidRPr="000E1DCD">
        <w:tab/>
      </w:r>
      <w:r w:rsidRPr="000E1DCD">
        <w:tab/>
      </w:r>
      <w:r w:rsidRPr="000E1DCD">
        <w:rPr>
          <w:rFonts w:eastAsia="Calibri"/>
          <w:szCs w:val="22"/>
          <w:lang w:eastAsia="en-US"/>
        </w:rPr>
        <w:t xml:space="preserve">Na </w:t>
      </w:r>
      <w:r w:rsidRPr="000E1DCD">
        <w:rPr>
          <w:rFonts w:eastAsia="Calibri"/>
          <w:b/>
          <w:szCs w:val="22"/>
          <w:lang w:eastAsia="en-US"/>
        </w:rPr>
        <w:t>uvjetno mišljenje o financijskim izvještajima u reviziji</w:t>
      </w:r>
      <w:r w:rsidRPr="000E1DCD">
        <w:rPr>
          <w:rFonts w:eastAsia="Calibri"/>
          <w:szCs w:val="22"/>
          <w:lang w:eastAsia="en-US"/>
        </w:rPr>
        <w:t xml:space="preserve"> </w:t>
      </w:r>
      <w:r w:rsidRPr="000E1DCD">
        <w:rPr>
          <w:rFonts w:eastAsia="Calibri"/>
          <w:b/>
          <w:szCs w:val="22"/>
          <w:lang w:eastAsia="en-US"/>
        </w:rPr>
        <w:t>Ministarstva prostornoga uređenja, graditeljstva i državne imovine</w:t>
      </w:r>
      <w:r w:rsidRPr="000E1DCD">
        <w:rPr>
          <w:rFonts w:eastAsia="Calibri"/>
          <w:szCs w:val="22"/>
          <w:lang w:eastAsia="en-US"/>
        </w:rPr>
        <w:t xml:space="preserve"> utjecale su nepravilnosti u računovodstvenom poslovanju i financijskom izvještavanju, zbog čega </w:t>
      </w:r>
      <w:r w:rsidR="00E17961">
        <w:rPr>
          <w:rFonts w:eastAsia="Calibri"/>
          <w:szCs w:val="22"/>
          <w:lang w:eastAsia="en-US"/>
        </w:rPr>
        <w:t xml:space="preserve">dio podataka iskazanih </w:t>
      </w:r>
      <w:r w:rsidRPr="000E1DCD">
        <w:rPr>
          <w:rFonts w:eastAsia="Calibri"/>
          <w:szCs w:val="22"/>
          <w:lang w:eastAsia="en-US"/>
        </w:rPr>
        <w:t>u financijskim izvještajima nije točan.</w:t>
      </w:r>
    </w:p>
    <w:p w14:paraId="7CD519C4" w14:textId="77777777" w:rsidR="000E1DCD" w:rsidRPr="000E1DCD" w:rsidRDefault="000E1DCD" w:rsidP="00EE3381">
      <w:pPr>
        <w:tabs>
          <w:tab w:val="left" w:pos="284"/>
          <w:tab w:val="left" w:pos="567"/>
          <w:tab w:val="left" w:pos="851"/>
        </w:tabs>
      </w:pPr>
      <w:r w:rsidRPr="000E1DCD">
        <w:tab/>
      </w:r>
    </w:p>
    <w:p w14:paraId="164A62BA" w14:textId="77777777" w:rsidR="000E1DCD" w:rsidRPr="000E1DCD" w:rsidRDefault="000E1DCD" w:rsidP="00EE3381">
      <w:pPr>
        <w:tabs>
          <w:tab w:val="left" w:pos="284"/>
          <w:tab w:val="left" w:pos="567"/>
          <w:tab w:val="left" w:pos="851"/>
        </w:tabs>
      </w:pPr>
      <w:r w:rsidRPr="000E1DCD">
        <w:tab/>
      </w:r>
      <w:r w:rsidRPr="000E1DCD">
        <w:tab/>
        <w:t xml:space="preserve">Na </w:t>
      </w:r>
      <w:r w:rsidRPr="000E1DCD">
        <w:rPr>
          <w:b/>
        </w:rPr>
        <w:t xml:space="preserve">uvjetno mišljenje o usklađenosti poslovanja u reviziji Ministarstva znanosti i obrazovanja </w:t>
      </w:r>
      <w:r w:rsidRPr="000E1DCD">
        <w:t>utjecale su nepravilnosti</w:t>
      </w:r>
      <w:r w:rsidRPr="000E1DCD">
        <w:rPr>
          <w:b/>
        </w:rPr>
        <w:t xml:space="preserve"> </w:t>
      </w:r>
      <w:r w:rsidRPr="000E1DCD">
        <w:t>u područjima djelokruga, planiranja i izvršenja plana te rashoda, a odnose se na:</w:t>
      </w:r>
    </w:p>
    <w:p w14:paraId="3EBA2A0D" w14:textId="77777777" w:rsidR="000E1DCD" w:rsidRPr="000E1DCD" w:rsidRDefault="000E1DCD" w:rsidP="00EE3381">
      <w:pPr>
        <w:tabs>
          <w:tab w:val="left" w:pos="284"/>
          <w:tab w:val="left" w:pos="567"/>
          <w:tab w:val="left" w:pos="851"/>
        </w:tabs>
      </w:pPr>
    </w:p>
    <w:p w14:paraId="06EBFC35" w14:textId="41261AD4" w:rsidR="000E1DCD" w:rsidRPr="000E1DCD" w:rsidRDefault="000E1DCD" w:rsidP="007F5618">
      <w:pPr>
        <w:widowControl/>
        <w:numPr>
          <w:ilvl w:val="0"/>
          <w:numId w:val="5"/>
        </w:numPr>
        <w:tabs>
          <w:tab w:val="left" w:pos="567"/>
        </w:tabs>
        <w:autoSpaceDE/>
        <w:autoSpaceDN/>
        <w:adjustRightInd/>
        <w:spacing w:after="200"/>
        <w:ind w:left="567" w:hanging="567"/>
        <w:contextualSpacing/>
        <w:rPr>
          <w:rFonts w:eastAsia="Calibri" w:cs="Arial"/>
          <w:lang w:eastAsia="en-US"/>
        </w:rPr>
      </w:pPr>
      <w:r w:rsidRPr="000E1DCD">
        <w:rPr>
          <w:rFonts w:eastAsia="Calibri" w:cs="Arial"/>
          <w:lang w:eastAsia="en-US"/>
        </w:rPr>
        <w:t xml:space="preserve">donošenje više </w:t>
      </w:r>
      <w:proofErr w:type="spellStart"/>
      <w:r w:rsidRPr="000E1DCD">
        <w:rPr>
          <w:rFonts w:eastAsia="Calibri" w:cs="Arial"/>
          <w:lang w:eastAsia="en-US"/>
        </w:rPr>
        <w:t>podzakonskih</w:t>
      </w:r>
      <w:proofErr w:type="spellEnd"/>
      <w:r w:rsidRPr="000E1DCD">
        <w:rPr>
          <w:rFonts w:eastAsia="Calibri" w:cs="Arial"/>
          <w:lang w:eastAsia="en-US"/>
        </w:rPr>
        <w:t xml:space="preserve"> propisa iz nadležnosti Ministarstva, a s donošenjem pojedinih se kasni više od 15 godina</w:t>
      </w:r>
    </w:p>
    <w:p w14:paraId="26373BAC" w14:textId="257A87A7" w:rsidR="000E1DCD" w:rsidRPr="000E1DCD" w:rsidRDefault="000E1DCD" w:rsidP="007F5618">
      <w:pPr>
        <w:widowControl/>
        <w:numPr>
          <w:ilvl w:val="0"/>
          <w:numId w:val="5"/>
        </w:numPr>
        <w:tabs>
          <w:tab w:val="left" w:pos="567"/>
        </w:tabs>
        <w:autoSpaceDE/>
        <w:autoSpaceDN/>
        <w:adjustRightInd/>
        <w:spacing w:after="200"/>
        <w:ind w:left="567" w:hanging="567"/>
        <w:contextualSpacing/>
        <w:rPr>
          <w:rFonts w:eastAsia="Calibri" w:cs="Arial"/>
          <w:lang w:eastAsia="en-US"/>
        </w:rPr>
      </w:pPr>
      <w:r w:rsidRPr="000E1DCD">
        <w:rPr>
          <w:rFonts w:eastAsia="Calibri" w:cs="Arial"/>
          <w:lang w:eastAsia="en-US"/>
        </w:rPr>
        <w:lastRenderedPageBreak/>
        <w:t>financijskim planom za 2023. sredstva za financiranje pojedinih rashoda nisu planirana u okviru skupina Računskog plana koje su za te vrste rashoda propi</w:t>
      </w:r>
      <w:r w:rsidR="006C7C14">
        <w:rPr>
          <w:rFonts w:eastAsia="Calibri" w:cs="Arial"/>
          <w:lang w:eastAsia="en-US"/>
        </w:rPr>
        <w:t>sane Računskim planom proračuna</w:t>
      </w:r>
    </w:p>
    <w:p w14:paraId="2FF8F4BA" w14:textId="77777777" w:rsidR="000E1DCD" w:rsidRPr="000E1DCD" w:rsidRDefault="000E1DCD" w:rsidP="007F5618">
      <w:pPr>
        <w:widowControl/>
        <w:numPr>
          <w:ilvl w:val="0"/>
          <w:numId w:val="5"/>
        </w:numPr>
        <w:autoSpaceDE/>
        <w:autoSpaceDN/>
        <w:adjustRightInd/>
        <w:spacing w:after="200"/>
        <w:ind w:left="567" w:hanging="567"/>
        <w:contextualSpacing/>
        <w:rPr>
          <w:rFonts w:eastAsia="Calibri" w:cs="Arial"/>
          <w:lang w:eastAsia="en-US"/>
        </w:rPr>
      </w:pPr>
      <w:r w:rsidRPr="000E1DCD">
        <w:rPr>
          <w:rFonts w:eastAsia="Calibri" w:cs="Arial"/>
          <w:lang w:eastAsia="en-US"/>
        </w:rPr>
        <w:t>nije donesen plan kontrola korisnika transfera sredstava iz proračuna za 2023. te kontrole na licu mjesta na odabranom uzorku za izvršene transfere sredstava korisnicima iz proračuna nisu obavljane</w:t>
      </w:r>
    </w:p>
    <w:p w14:paraId="7CD142BB" w14:textId="5F1DB477" w:rsidR="000E1DCD" w:rsidRDefault="000E1DCD" w:rsidP="007F5618">
      <w:pPr>
        <w:widowControl/>
        <w:numPr>
          <w:ilvl w:val="0"/>
          <w:numId w:val="5"/>
        </w:numPr>
        <w:autoSpaceDE/>
        <w:autoSpaceDN/>
        <w:adjustRightInd/>
        <w:spacing w:after="200"/>
        <w:ind w:left="567" w:hanging="567"/>
        <w:contextualSpacing/>
        <w:rPr>
          <w:rFonts w:eastAsia="Calibri" w:cs="Arial"/>
          <w:lang w:eastAsia="en-US"/>
        </w:rPr>
      </w:pPr>
      <w:r w:rsidRPr="000E1DCD">
        <w:rPr>
          <w:rFonts w:eastAsia="Calibri" w:cs="Arial"/>
          <w:lang w:eastAsia="en-US"/>
        </w:rPr>
        <w:t xml:space="preserve">rashodi za naknade na temelju ugovora o djelu </w:t>
      </w:r>
      <w:r w:rsidRPr="0015364B">
        <w:rPr>
          <w:rFonts w:eastAsia="Calibri" w:cs="Arial"/>
          <w:lang w:eastAsia="en-US"/>
        </w:rPr>
        <w:t>veći</w:t>
      </w:r>
      <w:r w:rsidR="0015364B">
        <w:rPr>
          <w:rFonts w:eastAsia="Calibri" w:cs="Arial"/>
          <w:lang w:eastAsia="en-US"/>
        </w:rPr>
        <w:t xml:space="preserve"> su</w:t>
      </w:r>
      <w:r w:rsidRPr="000E1DCD">
        <w:rPr>
          <w:rFonts w:eastAsia="Calibri" w:cs="Arial"/>
          <w:lang w:eastAsia="en-US"/>
        </w:rPr>
        <w:t xml:space="preserve"> od propisanog ograničenja odnosno 2,0 % osiguranih sredstava za plaće u 2023.</w:t>
      </w:r>
    </w:p>
    <w:p w14:paraId="0F5E139B" w14:textId="77777777" w:rsidR="003D74FC" w:rsidRPr="002C07E5" w:rsidRDefault="003D74FC" w:rsidP="003D74FC">
      <w:pPr>
        <w:widowControl/>
        <w:autoSpaceDE/>
        <w:autoSpaceDN/>
        <w:adjustRightInd/>
        <w:spacing w:after="200"/>
        <w:ind w:left="1080"/>
        <w:contextualSpacing/>
      </w:pPr>
    </w:p>
    <w:p w14:paraId="02FA04DC" w14:textId="3125F472" w:rsidR="000E1DCD" w:rsidRPr="000E1DCD" w:rsidRDefault="000E1DCD" w:rsidP="001239B9">
      <w:pPr>
        <w:tabs>
          <w:tab w:val="left" w:pos="284"/>
          <w:tab w:val="left" w:pos="567"/>
          <w:tab w:val="left" w:pos="851"/>
        </w:tabs>
      </w:pPr>
      <w:r w:rsidRPr="000E1DCD">
        <w:tab/>
      </w:r>
      <w:r w:rsidRPr="000E1DCD">
        <w:tab/>
      </w:r>
      <w:r w:rsidR="00E17961" w:rsidRPr="002C07E5">
        <w:t>K</w:t>
      </w:r>
      <w:r w:rsidRPr="002C07E5">
        <w:t xml:space="preserve">od </w:t>
      </w:r>
      <w:r w:rsidR="003D74FC" w:rsidRPr="002C07E5">
        <w:t>svih</w:t>
      </w:r>
      <w:r w:rsidRPr="002C07E5">
        <w:t xml:space="preserve"> </w:t>
      </w:r>
      <w:r w:rsidRPr="000E1DCD">
        <w:t>proračunskih korisnika</w:t>
      </w:r>
      <w:r w:rsidR="003D74FC">
        <w:t xml:space="preserve"> </w:t>
      </w:r>
      <w:r w:rsidRPr="002C07E5">
        <w:t>utvrđene su određene nepravilnosti i</w:t>
      </w:r>
      <w:r w:rsidR="00E17961" w:rsidRPr="002C07E5">
        <w:t xml:space="preserve"> propusti</w:t>
      </w:r>
      <w:r w:rsidRPr="002C07E5">
        <w:t xml:space="preserve"> </w:t>
      </w:r>
      <w:r w:rsidR="00E17961" w:rsidRPr="002C07E5">
        <w:t>koje nisu imale</w:t>
      </w:r>
      <w:r w:rsidRPr="000E1DCD">
        <w:t xml:space="preserve"> značajniji utjecaj na realnost i vjerodostojnost financijskih izvj</w:t>
      </w:r>
      <w:r w:rsidR="003D74FC">
        <w:t xml:space="preserve">eštaja </w:t>
      </w:r>
      <w:r w:rsidR="008D328E">
        <w:t>i</w:t>
      </w:r>
      <w:r w:rsidR="003D74FC">
        <w:t xml:space="preserve"> usklađenost </w:t>
      </w:r>
      <w:r w:rsidR="003D74FC" w:rsidRPr="003D74FC">
        <w:t>poslovanja te su stoga</w:t>
      </w:r>
      <w:r w:rsidRPr="000E1DCD">
        <w:t xml:space="preserve"> izražena bezuvjetna mišljenja. </w:t>
      </w:r>
    </w:p>
    <w:p w14:paraId="4C992863" w14:textId="77777777" w:rsidR="000E1DCD" w:rsidRPr="000E1DCD" w:rsidRDefault="000E1DCD" w:rsidP="00EE3381">
      <w:pPr>
        <w:tabs>
          <w:tab w:val="left" w:pos="284"/>
          <w:tab w:val="left" w:pos="567"/>
          <w:tab w:val="left" w:pos="851"/>
        </w:tabs>
      </w:pPr>
    </w:p>
    <w:p w14:paraId="2AAF4E36" w14:textId="77777777" w:rsidR="000E1DCD" w:rsidRPr="000E1DCD" w:rsidRDefault="000E1DCD" w:rsidP="00EE3381">
      <w:pPr>
        <w:tabs>
          <w:tab w:val="left" w:pos="284"/>
          <w:tab w:val="left" w:pos="567"/>
          <w:tab w:val="left" w:pos="851"/>
        </w:tabs>
      </w:pPr>
      <w:r w:rsidRPr="000E1DCD">
        <w:tab/>
      </w:r>
      <w:r w:rsidRPr="000E1DCD">
        <w:tab/>
        <w:t xml:space="preserve">Za sve utvrđene nepravilnosti i propuste dano je ukupno </w:t>
      </w:r>
      <w:r w:rsidRPr="000E1DCD">
        <w:rPr>
          <w:b/>
        </w:rPr>
        <w:t>55 naloga i preporuka</w:t>
      </w:r>
      <w:r w:rsidRPr="000E1DCD">
        <w:t xml:space="preserve">. </w:t>
      </w:r>
    </w:p>
    <w:p w14:paraId="22583BD8" w14:textId="77777777" w:rsidR="000E1DCD" w:rsidRPr="000E1DCD" w:rsidRDefault="000E1DCD" w:rsidP="00EE3381">
      <w:pPr>
        <w:tabs>
          <w:tab w:val="left" w:pos="284"/>
          <w:tab w:val="left" w:pos="567"/>
          <w:tab w:val="left" w:pos="851"/>
        </w:tabs>
      </w:pPr>
    </w:p>
    <w:p w14:paraId="2DFC9939" w14:textId="1D96A887" w:rsidR="000E1DCD" w:rsidRPr="000E1DCD" w:rsidRDefault="000E1DCD" w:rsidP="00EE3381">
      <w:pPr>
        <w:tabs>
          <w:tab w:val="left" w:pos="284"/>
          <w:tab w:val="left" w:pos="567"/>
          <w:tab w:val="left" w:pos="851"/>
        </w:tabs>
      </w:pPr>
      <w:r w:rsidRPr="000E1DCD">
        <w:tab/>
      </w:r>
      <w:r w:rsidRPr="000E1DCD">
        <w:tab/>
        <w:t xml:space="preserve">Osim toga, utvrđeno je da je, od </w:t>
      </w:r>
      <w:r w:rsidRPr="000E1DCD">
        <w:rPr>
          <w:b/>
        </w:rPr>
        <w:t>68</w:t>
      </w:r>
      <w:r w:rsidRPr="000E1DCD">
        <w:t xml:space="preserve"> naloga i preporuka danih u prošlim revizijama, </w:t>
      </w:r>
      <w:r w:rsidR="0061190F">
        <w:rPr>
          <w:b/>
        </w:rPr>
        <w:t xml:space="preserve">44 ili 64,7 % </w:t>
      </w:r>
      <w:r w:rsidRPr="000E1DCD">
        <w:rPr>
          <w:b/>
        </w:rPr>
        <w:t>provedeno, 18 ili 26,5 %</w:t>
      </w:r>
      <w:r w:rsidR="0061190F">
        <w:rPr>
          <w:b/>
        </w:rPr>
        <w:t xml:space="preserve"> je djelomično </w:t>
      </w:r>
      <w:r w:rsidR="00D5105D">
        <w:rPr>
          <w:b/>
        </w:rPr>
        <w:t>provedeno, nisu</w:t>
      </w:r>
      <w:r w:rsidRPr="000E1DCD">
        <w:rPr>
          <w:b/>
        </w:rPr>
        <w:t xml:space="preserve"> </w:t>
      </w:r>
      <w:r w:rsidRPr="00320A51">
        <w:rPr>
          <w:b/>
        </w:rPr>
        <w:t>provedene četiri</w:t>
      </w:r>
      <w:r w:rsidRPr="000E1DCD">
        <w:rPr>
          <w:b/>
        </w:rPr>
        <w:t xml:space="preserve"> ili 5,9 %, a dva ili 2,9 % </w:t>
      </w:r>
      <w:r w:rsidRPr="000E1DCD">
        <w:t>naloga i preporuka nije primjenjivo zbog promjene propisa.</w:t>
      </w:r>
    </w:p>
    <w:p w14:paraId="4E8EEBAF" w14:textId="77777777" w:rsidR="000E1DCD" w:rsidRPr="000E1DCD" w:rsidRDefault="000E1DCD" w:rsidP="00EE3381">
      <w:pPr>
        <w:tabs>
          <w:tab w:val="left" w:pos="284"/>
          <w:tab w:val="left" w:pos="567"/>
          <w:tab w:val="left" w:pos="851"/>
        </w:tabs>
      </w:pPr>
    </w:p>
    <w:p w14:paraId="446D24E3" w14:textId="77777777" w:rsidR="00C36A1F" w:rsidRDefault="00C36A1F" w:rsidP="00EE3381">
      <w:pPr>
        <w:tabs>
          <w:tab w:val="left" w:pos="284"/>
          <w:tab w:val="left" w:pos="567"/>
          <w:tab w:val="left" w:pos="851"/>
        </w:tabs>
      </w:pPr>
    </w:p>
    <w:p w14:paraId="56716F90" w14:textId="30FDEE4C" w:rsidR="00C36A1F" w:rsidRPr="00A036F9" w:rsidRDefault="00A036F9" w:rsidP="001239B9">
      <w:pPr>
        <w:tabs>
          <w:tab w:val="left" w:pos="567"/>
        </w:tabs>
        <w:rPr>
          <w:rFonts w:eastAsia="Calibri" w:cs="Arial"/>
          <w:b/>
          <w:bCs/>
        </w:rPr>
      </w:pPr>
      <w:r w:rsidRPr="00A036F9">
        <w:rPr>
          <w:rFonts w:eastAsia="Calibri" w:cs="Arial"/>
          <w:b/>
          <w:bCs/>
          <w:lang w:eastAsia="en-US"/>
        </w:rPr>
        <w:t>–</w:t>
      </w:r>
      <w:r>
        <w:rPr>
          <w:rFonts w:eastAsia="Calibri" w:cs="Arial"/>
          <w:b/>
          <w:bCs/>
        </w:rPr>
        <w:tab/>
      </w:r>
      <w:r w:rsidR="00C36A1F" w:rsidRPr="00A036F9">
        <w:rPr>
          <w:rFonts w:eastAsia="Calibri" w:cs="Arial"/>
          <w:b/>
          <w:bCs/>
        </w:rPr>
        <w:t xml:space="preserve">IZVANPRORAČUNSKI KORISNIK DRŽAVNOG PRORAČUNA </w:t>
      </w:r>
    </w:p>
    <w:p w14:paraId="58D1D6CE" w14:textId="77777777" w:rsidR="00C36A1F" w:rsidRPr="00C36A1F" w:rsidRDefault="00C36A1F" w:rsidP="00EE3381">
      <w:pPr>
        <w:widowControl/>
        <w:jc w:val="left"/>
        <w:rPr>
          <w:rFonts w:eastAsia="Calibri" w:cs="Arial"/>
          <w:lang w:eastAsia="en-US"/>
        </w:rPr>
      </w:pPr>
    </w:p>
    <w:p w14:paraId="317803F6" w14:textId="19F0315F" w:rsidR="00C36A1F" w:rsidRPr="00C36A1F" w:rsidRDefault="00C36A1F" w:rsidP="001239B9">
      <w:pPr>
        <w:widowControl/>
        <w:ind w:firstLine="567"/>
        <w:rPr>
          <w:rFonts w:eastAsia="Calibri" w:cs="Arial"/>
          <w:lang w:eastAsia="en-US"/>
        </w:rPr>
      </w:pPr>
      <w:r w:rsidRPr="00C36A1F">
        <w:rPr>
          <w:rFonts w:eastAsia="Calibri" w:cs="Arial"/>
          <w:lang w:eastAsia="en-US"/>
        </w:rPr>
        <w:t xml:space="preserve">Ured je obavio financijsku reviziju </w:t>
      </w:r>
      <w:r w:rsidRPr="00C36A1F">
        <w:rPr>
          <w:rFonts w:eastAsia="Calibri" w:cs="Arial"/>
          <w:b/>
          <w:lang w:eastAsia="en-US"/>
        </w:rPr>
        <w:t>Fonda za zaštitu okoliša i energetsku učinkovitost</w:t>
      </w:r>
      <w:r w:rsidRPr="00EA2F7A">
        <w:rPr>
          <w:rFonts w:eastAsia="Calibri" w:cs="Arial"/>
          <w:lang w:eastAsia="en-US"/>
        </w:rPr>
        <w:t>, kojom s</w:t>
      </w:r>
      <w:r w:rsidR="00CA5900" w:rsidRPr="00EA2F7A">
        <w:rPr>
          <w:rFonts w:eastAsia="Calibri" w:cs="Arial"/>
          <w:lang w:eastAsia="en-US"/>
        </w:rPr>
        <w:t>u</w:t>
      </w:r>
      <w:r w:rsidRPr="00EA2F7A">
        <w:rPr>
          <w:rFonts w:eastAsia="Calibri" w:cs="Arial"/>
          <w:lang w:eastAsia="en-US"/>
        </w:rPr>
        <w:t xml:space="preserve"> obuhv</w:t>
      </w:r>
      <w:r w:rsidR="00CA5900" w:rsidRPr="00EA2F7A">
        <w:rPr>
          <w:rFonts w:eastAsia="Calibri" w:cs="Arial"/>
          <w:lang w:eastAsia="en-US"/>
        </w:rPr>
        <w:t>aćeni</w:t>
      </w:r>
      <w:r w:rsidRPr="00EA2F7A">
        <w:rPr>
          <w:rFonts w:eastAsia="Calibri" w:cs="Arial"/>
          <w:lang w:eastAsia="en-US"/>
        </w:rPr>
        <w:t xml:space="preserve"> fin</w:t>
      </w:r>
      <w:r w:rsidR="00CA5900" w:rsidRPr="00EA2F7A">
        <w:rPr>
          <w:rFonts w:eastAsia="Calibri" w:cs="Arial"/>
          <w:lang w:eastAsia="en-US"/>
        </w:rPr>
        <w:t>a</w:t>
      </w:r>
      <w:r w:rsidRPr="00EA2F7A">
        <w:rPr>
          <w:rFonts w:eastAsia="Calibri" w:cs="Arial"/>
          <w:lang w:eastAsia="en-US"/>
        </w:rPr>
        <w:t>ncij</w:t>
      </w:r>
      <w:r w:rsidR="00CA5900" w:rsidRPr="00EA2F7A">
        <w:rPr>
          <w:rFonts w:eastAsia="Calibri" w:cs="Arial"/>
          <w:lang w:eastAsia="en-US"/>
        </w:rPr>
        <w:t>s</w:t>
      </w:r>
      <w:r w:rsidRPr="00EA2F7A">
        <w:rPr>
          <w:rFonts w:eastAsia="Calibri" w:cs="Arial"/>
          <w:lang w:eastAsia="en-US"/>
        </w:rPr>
        <w:t>k</w:t>
      </w:r>
      <w:r w:rsidR="00CA5900" w:rsidRPr="00EA2F7A">
        <w:rPr>
          <w:rFonts w:eastAsia="Calibri" w:cs="Arial"/>
          <w:lang w:eastAsia="en-US"/>
        </w:rPr>
        <w:t>i</w:t>
      </w:r>
      <w:r w:rsidRPr="00EA2F7A">
        <w:rPr>
          <w:rFonts w:eastAsia="Calibri" w:cs="Arial"/>
          <w:lang w:eastAsia="en-US"/>
        </w:rPr>
        <w:t xml:space="preserve"> izvještaj</w:t>
      </w:r>
      <w:r w:rsidR="00CA5900" w:rsidRPr="00EA2F7A">
        <w:rPr>
          <w:rFonts w:eastAsia="Calibri" w:cs="Arial"/>
          <w:lang w:eastAsia="en-US"/>
        </w:rPr>
        <w:t>i</w:t>
      </w:r>
      <w:r w:rsidRPr="00EA2F7A">
        <w:rPr>
          <w:rFonts w:eastAsia="Calibri" w:cs="Arial"/>
          <w:lang w:eastAsia="en-US"/>
        </w:rPr>
        <w:t xml:space="preserve"> i poslovanje za 2023.</w:t>
      </w:r>
      <w:r w:rsidR="00EA2F7A">
        <w:rPr>
          <w:rFonts w:eastAsia="Calibri" w:cs="Arial"/>
          <w:lang w:eastAsia="en-US"/>
        </w:rPr>
        <w:t xml:space="preserve"> O</w:t>
      </w:r>
      <w:r w:rsidR="00CA5900" w:rsidRPr="00EA2F7A">
        <w:rPr>
          <w:rFonts w:eastAsia="Calibri" w:cs="Arial"/>
          <w:lang w:eastAsia="en-US"/>
        </w:rPr>
        <w:t xml:space="preserve"> financijskim izvještajima i o </w:t>
      </w:r>
      <w:r w:rsidRPr="00C36A1F">
        <w:rPr>
          <w:rFonts w:eastAsia="Calibri" w:cs="Arial"/>
          <w:lang w:eastAsia="en-US"/>
        </w:rPr>
        <w:t xml:space="preserve">usklađenosti poslovanja izražena </w:t>
      </w:r>
      <w:r w:rsidR="00EA2F7A">
        <w:rPr>
          <w:rFonts w:eastAsia="Calibri" w:cs="Arial"/>
          <w:lang w:eastAsia="en-US"/>
        </w:rPr>
        <w:t xml:space="preserve">su </w:t>
      </w:r>
      <w:r w:rsidR="00056D0B">
        <w:rPr>
          <w:rFonts w:eastAsia="Calibri" w:cs="Arial"/>
          <w:b/>
          <w:lang w:eastAsia="en-US"/>
        </w:rPr>
        <w:t xml:space="preserve">bezuvjetna mišljenja </w:t>
      </w:r>
      <w:r w:rsidR="00056D0B" w:rsidRPr="00056D0B">
        <w:rPr>
          <w:rFonts w:eastAsia="Calibri" w:cs="Arial"/>
          <w:lang w:eastAsia="en-US"/>
        </w:rPr>
        <w:t>te su Fondu</w:t>
      </w:r>
      <w:r w:rsidR="00EA2F7A">
        <w:rPr>
          <w:rFonts w:eastAsia="Calibri" w:cs="Arial"/>
          <w:lang w:eastAsia="en-US"/>
        </w:rPr>
        <w:t xml:space="preserve"> dani</w:t>
      </w:r>
      <w:r w:rsidRPr="00C36A1F">
        <w:rPr>
          <w:rFonts w:eastAsia="Calibri" w:cs="Arial"/>
          <w:lang w:eastAsia="en-US"/>
        </w:rPr>
        <w:t xml:space="preserve"> nalozi i preporuke u cilju poboljš</w:t>
      </w:r>
      <w:r w:rsidR="00056D0B">
        <w:rPr>
          <w:rFonts w:eastAsia="Calibri" w:cs="Arial"/>
          <w:lang w:eastAsia="en-US"/>
        </w:rPr>
        <w:t>anja i unaprjeđenja poslovanja, kao i</w:t>
      </w:r>
      <w:r w:rsidRPr="00C36A1F">
        <w:rPr>
          <w:rFonts w:eastAsia="Calibri" w:cs="Arial"/>
          <w:lang w:eastAsia="en-US"/>
        </w:rPr>
        <w:t xml:space="preserve"> iskazivanja podataka u financijskim izvještajima</w:t>
      </w:r>
      <w:r w:rsidR="00EA2F7A">
        <w:rPr>
          <w:rFonts w:eastAsia="Calibri" w:cs="Arial"/>
          <w:lang w:eastAsia="en-US"/>
        </w:rPr>
        <w:t>.</w:t>
      </w:r>
    </w:p>
    <w:p w14:paraId="643CD22D" w14:textId="77777777" w:rsidR="00C36A1F" w:rsidRPr="00C36A1F" w:rsidRDefault="00C36A1F" w:rsidP="00EE3381">
      <w:pPr>
        <w:widowControl/>
        <w:ind w:firstLine="708"/>
        <w:rPr>
          <w:rFonts w:eastAsia="Calibri" w:cs="Arial"/>
          <w:b/>
          <w:color w:val="FF0000"/>
          <w:lang w:eastAsia="en-US"/>
        </w:rPr>
      </w:pPr>
    </w:p>
    <w:p w14:paraId="6CF24561" w14:textId="21154906" w:rsidR="00C36A1F" w:rsidRPr="00C36A1F" w:rsidRDefault="00C36A1F" w:rsidP="001239B9">
      <w:pPr>
        <w:widowControl/>
        <w:ind w:firstLine="567"/>
        <w:rPr>
          <w:rFonts w:eastAsia="Calibri" w:cs="Arial"/>
          <w:lang w:eastAsia="en-US"/>
        </w:rPr>
      </w:pPr>
      <w:r w:rsidRPr="00C36A1F">
        <w:rPr>
          <w:rFonts w:cs="Arial"/>
        </w:rPr>
        <w:t>Također, utvrđeno je da je</w:t>
      </w:r>
      <w:r w:rsidR="00D5105D">
        <w:rPr>
          <w:rFonts w:cs="Arial"/>
        </w:rPr>
        <w:t>,</w:t>
      </w:r>
      <w:r w:rsidRPr="00C36A1F">
        <w:rPr>
          <w:rFonts w:cs="Arial"/>
        </w:rPr>
        <w:t xml:space="preserve"> od </w:t>
      </w:r>
      <w:r w:rsidRPr="00C36A1F">
        <w:rPr>
          <w:rFonts w:cs="Arial"/>
          <w:b/>
        </w:rPr>
        <w:t>27 naloga i preporuka</w:t>
      </w:r>
      <w:r w:rsidRPr="00C36A1F">
        <w:rPr>
          <w:rFonts w:cs="Arial"/>
        </w:rPr>
        <w:t xml:space="preserve"> danih u prošlim revizijama, </w:t>
      </w:r>
      <w:r w:rsidR="00F4160A" w:rsidRPr="002C07E5">
        <w:rPr>
          <w:rFonts w:cs="Arial"/>
          <w:b/>
        </w:rPr>
        <w:t>provedeno</w:t>
      </w:r>
      <w:r w:rsidRPr="002C07E5">
        <w:rPr>
          <w:rFonts w:cs="Arial"/>
          <w:b/>
        </w:rPr>
        <w:t xml:space="preserve"> 20</w:t>
      </w:r>
      <w:r w:rsidR="00CA5900" w:rsidRPr="002C07E5">
        <w:rPr>
          <w:rFonts w:cs="Arial"/>
          <w:b/>
        </w:rPr>
        <w:t xml:space="preserve"> ili 74,1 %</w:t>
      </w:r>
      <w:r w:rsidRPr="002C07E5">
        <w:rPr>
          <w:rFonts w:cs="Arial"/>
          <w:b/>
        </w:rPr>
        <w:t>,</w:t>
      </w:r>
      <w:r w:rsidRPr="002C07E5">
        <w:rPr>
          <w:rFonts w:cs="Arial"/>
        </w:rPr>
        <w:t xml:space="preserve"> djelomično su provedene </w:t>
      </w:r>
      <w:r w:rsidRPr="002C07E5">
        <w:rPr>
          <w:rFonts w:cs="Arial"/>
          <w:b/>
        </w:rPr>
        <w:t>tri preporuke</w:t>
      </w:r>
      <w:r w:rsidR="00CA5900" w:rsidRPr="002C07E5">
        <w:rPr>
          <w:rFonts w:cs="Arial"/>
          <w:b/>
        </w:rPr>
        <w:t xml:space="preserve"> ili 11,1 %</w:t>
      </w:r>
      <w:r w:rsidRPr="002C07E5">
        <w:rPr>
          <w:rFonts w:cs="Arial"/>
          <w:b/>
        </w:rPr>
        <w:t>,</w:t>
      </w:r>
      <w:r w:rsidRPr="002C07E5">
        <w:rPr>
          <w:rFonts w:cs="Arial"/>
        </w:rPr>
        <w:t xml:space="preserve"> </w:t>
      </w:r>
      <w:r w:rsidRPr="002C07E5">
        <w:rPr>
          <w:rFonts w:cs="Arial"/>
          <w:b/>
        </w:rPr>
        <w:t xml:space="preserve">tri naloga i preporuke </w:t>
      </w:r>
      <w:r w:rsidR="00CA5900" w:rsidRPr="002C07E5">
        <w:rPr>
          <w:rFonts w:cs="Arial"/>
          <w:b/>
        </w:rPr>
        <w:t xml:space="preserve">ili 11,1 % </w:t>
      </w:r>
      <w:r w:rsidRPr="002C07E5">
        <w:rPr>
          <w:rFonts w:cs="Arial"/>
          <w:b/>
        </w:rPr>
        <w:t>nisu primjenjivi</w:t>
      </w:r>
      <w:r w:rsidRPr="002C07E5">
        <w:rPr>
          <w:rFonts w:cs="Arial"/>
        </w:rPr>
        <w:t xml:space="preserve"> zbog </w:t>
      </w:r>
      <w:r w:rsidR="00CA5900" w:rsidRPr="002C07E5">
        <w:rPr>
          <w:rFonts w:cs="Arial"/>
        </w:rPr>
        <w:t>izmjene propisa</w:t>
      </w:r>
      <w:r w:rsidR="00D5105D" w:rsidRPr="002C07E5">
        <w:rPr>
          <w:rFonts w:cs="Arial"/>
        </w:rPr>
        <w:t>,</w:t>
      </w:r>
      <w:r w:rsidRPr="002C07E5">
        <w:rPr>
          <w:rFonts w:cs="Arial"/>
        </w:rPr>
        <w:t xml:space="preserve"> dok </w:t>
      </w:r>
      <w:r w:rsidRPr="002C07E5">
        <w:rPr>
          <w:rFonts w:cs="Arial"/>
          <w:b/>
        </w:rPr>
        <w:t>jedan nalog</w:t>
      </w:r>
      <w:r w:rsidR="00651ACB" w:rsidRPr="002C07E5">
        <w:rPr>
          <w:rFonts w:cs="Arial"/>
          <w:b/>
        </w:rPr>
        <w:t xml:space="preserve"> ili 3,7 %</w:t>
      </w:r>
      <w:r w:rsidR="00CA5900" w:rsidRPr="002C07E5">
        <w:rPr>
          <w:rFonts w:cs="Arial"/>
          <w:b/>
        </w:rPr>
        <w:t>,</w:t>
      </w:r>
      <w:r w:rsidR="00CA5900" w:rsidRPr="002C07E5">
        <w:rPr>
          <w:rFonts w:cs="Arial"/>
        </w:rPr>
        <w:t xml:space="preserve"> koji </w:t>
      </w:r>
      <w:r w:rsidR="00CA5900" w:rsidRPr="003930E9">
        <w:rPr>
          <w:rFonts w:cs="Arial"/>
        </w:rPr>
        <w:t xml:space="preserve">se </w:t>
      </w:r>
      <w:r w:rsidRPr="00C36A1F">
        <w:rPr>
          <w:rFonts w:cs="Arial"/>
        </w:rPr>
        <w:t>odnosi</w:t>
      </w:r>
      <w:r w:rsidR="00CA5900" w:rsidRPr="003930E9">
        <w:rPr>
          <w:rFonts w:cs="Arial"/>
        </w:rPr>
        <w:t>o</w:t>
      </w:r>
      <w:r w:rsidRPr="00C36A1F">
        <w:rPr>
          <w:rFonts w:cs="Arial"/>
        </w:rPr>
        <w:t xml:space="preserve"> na donošenje višegodišnjeg programa rada Fo</w:t>
      </w:r>
      <w:r w:rsidR="00CA5900" w:rsidRPr="003930E9">
        <w:rPr>
          <w:rFonts w:cs="Arial"/>
        </w:rPr>
        <w:t>nda za razdoblje koje je prošlo</w:t>
      </w:r>
      <w:r w:rsidR="002F104A">
        <w:rPr>
          <w:rFonts w:cs="Arial"/>
        </w:rPr>
        <w:t>,</w:t>
      </w:r>
      <w:r w:rsidR="00CA5900" w:rsidRPr="003930E9">
        <w:rPr>
          <w:rFonts w:cs="Arial"/>
        </w:rPr>
        <w:t xml:space="preserve"> </w:t>
      </w:r>
      <w:r w:rsidR="00CA5900" w:rsidRPr="00C36A1F">
        <w:rPr>
          <w:rFonts w:cs="Arial"/>
          <w:b/>
        </w:rPr>
        <w:t>nije proveden</w:t>
      </w:r>
      <w:r w:rsidR="00651ACB" w:rsidRPr="003930E9">
        <w:rPr>
          <w:rFonts w:cs="Arial"/>
          <w:b/>
        </w:rPr>
        <w:t xml:space="preserve"> </w:t>
      </w:r>
      <w:r w:rsidR="00651ACB" w:rsidRPr="003930E9">
        <w:rPr>
          <w:rFonts w:cs="Arial"/>
        </w:rPr>
        <w:t>(a</w:t>
      </w:r>
      <w:r w:rsidR="00CA5900" w:rsidRPr="003930E9">
        <w:rPr>
          <w:rFonts w:cs="Arial"/>
        </w:rPr>
        <w:t xml:space="preserve"> za iduće razdoblje je </w:t>
      </w:r>
      <w:r w:rsidRPr="00C36A1F">
        <w:rPr>
          <w:rFonts w:cs="Arial"/>
        </w:rPr>
        <w:t xml:space="preserve">u </w:t>
      </w:r>
      <w:r w:rsidR="00CA5900" w:rsidRPr="003930E9">
        <w:rPr>
          <w:rFonts w:cs="Arial"/>
        </w:rPr>
        <w:t xml:space="preserve">proceduri ishođenja suglasnosti </w:t>
      </w:r>
      <w:r w:rsidRPr="00C36A1F">
        <w:rPr>
          <w:rFonts w:cs="Arial"/>
        </w:rPr>
        <w:t>nadležnog tijela</w:t>
      </w:r>
      <w:r w:rsidR="00CA5900" w:rsidRPr="003930E9">
        <w:rPr>
          <w:rFonts w:cs="Arial"/>
        </w:rPr>
        <w:t>)</w:t>
      </w:r>
      <w:r w:rsidRPr="00C36A1F">
        <w:rPr>
          <w:rFonts w:cs="Arial"/>
        </w:rPr>
        <w:t>.</w:t>
      </w:r>
      <w:r w:rsidR="00CA5900" w:rsidRPr="003930E9">
        <w:rPr>
          <w:rFonts w:cs="Arial"/>
        </w:rPr>
        <w:t xml:space="preserve"> </w:t>
      </w:r>
    </w:p>
    <w:p w14:paraId="255C9187" w14:textId="77777777" w:rsidR="00C36A1F" w:rsidRPr="00C36A1F" w:rsidRDefault="00C36A1F" w:rsidP="00EE3381">
      <w:pPr>
        <w:widowControl/>
        <w:autoSpaceDE/>
        <w:autoSpaceDN/>
        <w:adjustRightInd/>
        <w:rPr>
          <w:rFonts w:eastAsia="Calibri" w:cs="Arial"/>
          <w:szCs w:val="22"/>
          <w:lang w:eastAsia="en-US"/>
        </w:rPr>
      </w:pPr>
    </w:p>
    <w:p w14:paraId="6B47A21C" w14:textId="78B1CEE2" w:rsidR="00C36A1F" w:rsidRPr="00331AFD" w:rsidRDefault="00C36A1F" w:rsidP="00EE3381">
      <w:pPr>
        <w:widowControl/>
        <w:autoSpaceDE/>
        <w:autoSpaceDN/>
        <w:adjustRightInd/>
        <w:rPr>
          <w:rFonts w:eastAsia="Calibri"/>
          <w:b/>
          <w:szCs w:val="22"/>
          <w:lang w:eastAsia="en-US"/>
        </w:rPr>
      </w:pPr>
    </w:p>
    <w:p w14:paraId="585AB0A2" w14:textId="0DEE9288" w:rsidR="00F83EA7" w:rsidRPr="00A036F9" w:rsidRDefault="00A036F9" w:rsidP="001239B9">
      <w:pPr>
        <w:tabs>
          <w:tab w:val="left" w:pos="567"/>
        </w:tabs>
        <w:rPr>
          <w:rFonts w:eastAsia="Calibri"/>
          <w:b/>
        </w:rPr>
      </w:pPr>
      <w:r w:rsidRPr="00A036F9">
        <w:rPr>
          <w:rFonts w:eastAsia="Calibri"/>
          <w:b/>
          <w:szCs w:val="22"/>
          <w:lang w:eastAsia="en-US"/>
        </w:rPr>
        <w:t>–</w:t>
      </w:r>
      <w:r>
        <w:rPr>
          <w:rFonts w:eastAsia="Calibri"/>
          <w:b/>
        </w:rPr>
        <w:tab/>
      </w:r>
      <w:r w:rsidR="00331AFD" w:rsidRPr="00A036F9">
        <w:rPr>
          <w:rFonts w:eastAsia="Calibri"/>
          <w:b/>
        </w:rPr>
        <w:t>ZAVODI ZA JAVNO ZDRAVSTVO</w:t>
      </w:r>
    </w:p>
    <w:p w14:paraId="229AC209" w14:textId="2612A6AB" w:rsidR="00331AFD" w:rsidRDefault="00331AFD" w:rsidP="00EE3381">
      <w:pPr>
        <w:widowControl/>
        <w:autoSpaceDE/>
        <w:autoSpaceDN/>
        <w:adjustRightInd/>
        <w:rPr>
          <w:rFonts w:eastAsia="Calibri"/>
          <w:b/>
          <w:szCs w:val="22"/>
          <w:lang w:eastAsia="en-US"/>
        </w:rPr>
      </w:pPr>
    </w:p>
    <w:p w14:paraId="0CE5785D" w14:textId="77777777" w:rsidR="00245314" w:rsidRDefault="00245314" w:rsidP="00245314">
      <w:pPr>
        <w:ind w:firstLine="567"/>
        <w:rPr>
          <w:rFonts w:eastAsia="Calibri"/>
        </w:rPr>
      </w:pPr>
      <w:r>
        <w:rPr>
          <w:rFonts w:eastAsia="Calibri"/>
        </w:rPr>
        <w:t xml:space="preserve">Ured je obavio financijsku reviziju </w:t>
      </w:r>
      <w:r w:rsidRPr="00245314">
        <w:rPr>
          <w:rFonts w:eastAsia="Calibri"/>
          <w:b/>
        </w:rPr>
        <w:t>22 zavoda za javno zdravstvo</w:t>
      </w:r>
      <w:r>
        <w:rPr>
          <w:rFonts w:eastAsia="Calibri"/>
        </w:rPr>
        <w:t>, i to Hrvatskog zavoda za javno zdravstvo koji je proračunski korisnik državnog proračuna i 21 zavoda za javno zdravstvo koji su proračunski korisnici županija.</w:t>
      </w:r>
    </w:p>
    <w:p w14:paraId="612C1611" w14:textId="769C6928" w:rsidR="00331AFD" w:rsidRPr="00331AFD" w:rsidRDefault="001239B9" w:rsidP="00331AFD">
      <w:pPr>
        <w:rPr>
          <w:rFonts w:eastAsia="Calibri"/>
        </w:rPr>
      </w:pPr>
      <w:r>
        <w:rPr>
          <w:rFonts w:eastAsia="Calibri"/>
        </w:rPr>
        <w:tab/>
      </w:r>
    </w:p>
    <w:p w14:paraId="73576330" w14:textId="77777777" w:rsidR="00331AFD" w:rsidRPr="00331AFD" w:rsidRDefault="00331AFD" w:rsidP="001239B9">
      <w:pPr>
        <w:ind w:firstLine="567"/>
        <w:rPr>
          <w:rFonts w:eastAsia="Calibri"/>
          <w:b/>
        </w:rPr>
      </w:pPr>
      <w:r w:rsidRPr="00331AFD">
        <w:rPr>
          <w:rFonts w:eastAsia="Calibri"/>
          <w:b/>
        </w:rPr>
        <w:t>Ciljevi revizije bili su:</w:t>
      </w:r>
    </w:p>
    <w:p w14:paraId="09897350" w14:textId="77777777" w:rsidR="00ED08EA" w:rsidRDefault="00ED08EA" w:rsidP="00ED08EA">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szCs w:val="20"/>
        </w:rPr>
      </w:pPr>
      <w:r>
        <w:rPr>
          <w:szCs w:val="20"/>
        </w:rPr>
        <w:t>–</w:t>
      </w:r>
      <w:r>
        <w:rPr>
          <w:szCs w:val="20"/>
        </w:rPr>
        <w:tab/>
      </w:r>
      <w:r w:rsidR="00331AFD" w:rsidRPr="00331AFD">
        <w:rPr>
          <w:szCs w:val="20"/>
        </w:rPr>
        <w:t xml:space="preserve">provjeriti istinitost i vjerodostojnost financijskih izvještaja </w:t>
      </w:r>
    </w:p>
    <w:p w14:paraId="2E7E648C" w14:textId="77777777" w:rsidR="00ED08EA" w:rsidRDefault="00ED08EA" w:rsidP="00ED08E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szCs w:val="20"/>
        </w:rPr>
      </w:pPr>
      <w:r w:rsidRPr="00ED08EA">
        <w:rPr>
          <w:szCs w:val="20"/>
        </w:rPr>
        <w:t>–</w:t>
      </w:r>
      <w:r>
        <w:rPr>
          <w:szCs w:val="20"/>
        </w:rPr>
        <w:tab/>
      </w:r>
      <w:r w:rsidR="00331AFD" w:rsidRPr="00ED08EA">
        <w:rPr>
          <w:szCs w:val="20"/>
        </w:rPr>
        <w:t>provjeriti ostvarenje prihoda i primitaka te rashoda i izdataka u skladu s planiranim aktivnostima i namjenama</w:t>
      </w:r>
    </w:p>
    <w:p w14:paraId="4936F338" w14:textId="77777777" w:rsidR="00ED08EA" w:rsidRDefault="00ED08EA" w:rsidP="00ED08E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textAlignment w:val="baseline"/>
        <w:rPr>
          <w:szCs w:val="20"/>
        </w:rPr>
      </w:pPr>
      <w:r w:rsidRPr="00ED08EA">
        <w:rPr>
          <w:szCs w:val="20"/>
        </w:rPr>
        <w:t>–</w:t>
      </w:r>
      <w:r>
        <w:rPr>
          <w:szCs w:val="20"/>
        </w:rPr>
        <w:tab/>
      </w:r>
      <w:r w:rsidR="00331AFD" w:rsidRPr="00ED08EA">
        <w:rPr>
          <w:szCs w:val="20"/>
        </w:rPr>
        <w:t>provjeriti usklađenost poslovanja sa zakonima i drugim propisima koji imaju značajan utjecaj na financijsko poslovanje</w:t>
      </w:r>
    </w:p>
    <w:p w14:paraId="3464F455" w14:textId="4CFF7D51" w:rsidR="00ED08EA" w:rsidRPr="00ED08EA" w:rsidRDefault="00ED08EA" w:rsidP="00ED08E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szCs w:val="20"/>
        </w:rPr>
      </w:pPr>
      <w:r w:rsidRPr="00ED08EA">
        <w:rPr>
          <w:szCs w:val="20"/>
        </w:rPr>
        <w:t>–</w:t>
      </w:r>
      <w:r>
        <w:rPr>
          <w:szCs w:val="20"/>
        </w:rPr>
        <w:tab/>
      </w:r>
      <w:r w:rsidR="00331AFD" w:rsidRPr="00ED08EA">
        <w:rPr>
          <w:szCs w:val="20"/>
        </w:rPr>
        <w:t>provjeriti provedbu naloga</w:t>
      </w:r>
      <w:r w:rsidRPr="00ED08EA">
        <w:rPr>
          <w:szCs w:val="20"/>
        </w:rPr>
        <w:t xml:space="preserve"> i preporuka iz prošle revizije</w:t>
      </w:r>
    </w:p>
    <w:p w14:paraId="269C56D5" w14:textId="6D6D1B40" w:rsidR="00331AFD" w:rsidRPr="00ED08EA" w:rsidRDefault="00331AFD" w:rsidP="007F5618">
      <w:pPr>
        <w:pStyle w:val="Odlomakpopisa"/>
        <w:numPr>
          <w:ilvl w:val="0"/>
          <w:numId w:val="5"/>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ascii="Arial" w:hAnsi="Arial" w:cs="Arial"/>
          <w:sz w:val="24"/>
          <w:szCs w:val="24"/>
        </w:rPr>
      </w:pPr>
      <w:r w:rsidRPr="00ED08EA">
        <w:rPr>
          <w:rFonts w:ascii="Arial" w:hAnsi="Arial" w:cs="Arial"/>
          <w:sz w:val="24"/>
          <w:szCs w:val="24"/>
        </w:rPr>
        <w:t>provjeriti druge aktivnosti u vezi s poslovanjem.</w:t>
      </w:r>
    </w:p>
    <w:p w14:paraId="56BBF295" w14:textId="77777777" w:rsidR="00331AFD" w:rsidRPr="00331AFD" w:rsidRDefault="00331AFD" w:rsidP="00331AF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34"/>
        <w:contextualSpacing/>
        <w:textAlignment w:val="baseline"/>
        <w:rPr>
          <w:szCs w:val="20"/>
        </w:rPr>
      </w:pPr>
    </w:p>
    <w:p w14:paraId="035629BB" w14:textId="12D8192C" w:rsidR="00331AFD" w:rsidRPr="00331AFD" w:rsidRDefault="00331AFD" w:rsidP="00ED08EA">
      <w:pPr>
        <w:widowControl/>
        <w:autoSpaceDE/>
        <w:autoSpaceDN/>
        <w:adjustRightInd/>
        <w:ind w:right="-1" w:firstLine="567"/>
        <w:rPr>
          <w:rFonts w:eastAsia="Calibri" w:cs="Arial"/>
          <w:b/>
          <w:lang w:eastAsia="en-US"/>
        </w:rPr>
      </w:pPr>
      <w:r w:rsidRPr="00331AFD">
        <w:rPr>
          <w:rFonts w:eastAsia="Calibri" w:cs="Arial"/>
          <w:b/>
          <w:lang w:eastAsia="en-US"/>
        </w:rPr>
        <w:lastRenderedPageBreak/>
        <w:t>O financijskim izvještajima zavoda za javno zdravstvo izraženo je osam bezuvjetnih, 13 uvjetnih i jedno nepovoljno mišljenje. O uskl</w:t>
      </w:r>
      <w:r w:rsidR="00072491">
        <w:rPr>
          <w:rFonts w:eastAsia="Calibri" w:cs="Arial"/>
          <w:b/>
          <w:lang w:eastAsia="en-US"/>
        </w:rPr>
        <w:t>ađenosti poslovanja izraženo je</w:t>
      </w:r>
      <w:r w:rsidRPr="00331AFD">
        <w:rPr>
          <w:rFonts w:eastAsia="Calibri" w:cs="Arial"/>
          <w:b/>
          <w:lang w:eastAsia="en-US"/>
        </w:rPr>
        <w:t xml:space="preserve"> 15 bezuvjetnih, šest uvjetnih i jedno nepovoljno mišljenje.</w:t>
      </w:r>
    </w:p>
    <w:p w14:paraId="1B8B981E" w14:textId="77777777" w:rsidR="00331AFD" w:rsidRPr="00331AFD" w:rsidRDefault="00331AFD" w:rsidP="00331AFD">
      <w:pPr>
        <w:widowControl/>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szCs w:val="20"/>
        </w:rPr>
      </w:pPr>
    </w:p>
    <w:p w14:paraId="55577EAE" w14:textId="77777777" w:rsidR="00331AFD" w:rsidRPr="00331AFD" w:rsidRDefault="00331AFD" w:rsidP="00ED08EA">
      <w:pPr>
        <w:ind w:firstLine="567"/>
      </w:pPr>
      <w:r w:rsidRPr="00331AFD">
        <w:t>Utvrđene nepravilnosti odnose se na: djelokrug i unutarnje ustrojstvo, sustav unutarnjih kontrola, planiranje i izvršenje plana, računovodstveno poslovanje i financijsko izvještavanje, prihode i potraživanja, rashode i rezultat poslovanja, javnu nabavu te imovinu.</w:t>
      </w:r>
    </w:p>
    <w:p w14:paraId="18A3B381" w14:textId="77777777" w:rsidR="00331AFD" w:rsidRPr="00331AFD" w:rsidRDefault="00331AFD" w:rsidP="00331AFD"/>
    <w:p w14:paraId="5B2A0A9E" w14:textId="58A61F52" w:rsidR="00331AFD" w:rsidRPr="002C07E5" w:rsidRDefault="00072491" w:rsidP="00ED08EA">
      <w:pPr>
        <w:ind w:firstLine="567"/>
      </w:pPr>
      <w:r w:rsidRPr="002C07E5">
        <w:t>U</w:t>
      </w:r>
      <w:r w:rsidR="00245314" w:rsidRPr="002C07E5">
        <w:t xml:space="preserve"> nastavku s</w:t>
      </w:r>
      <w:r w:rsidRPr="002C07E5">
        <w:t xml:space="preserve">e navode </w:t>
      </w:r>
      <w:r w:rsidR="00245314" w:rsidRPr="002C07E5">
        <w:t>značajnije</w:t>
      </w:r>
      <w:r w:rsidRPr="002C07E5">
        <w:t xml:space="preserve"> nepravilnosti utvrđene revizijom</w:t>
      </w:r>
      <w:r w:rsidR="00331AFD" w:rsidRPr="002C07E5">
        <w:t>:</w:t>
      </w:r>
    </w:p>
    <w:p w14:paraId="78C2C411" w14:textId="05AB0E02" w:rsidR="00331AFD" w:rsidRPr="00331AFD" w:rsidRDefault="00331AFD" w:rsidP="00331AFD">
      <w:pPr>
        <w:tabs>
          <w:tab w:val="left" w:pos="567"/>
        </w:tabs>
        <w:ind w:left="567" w:hanging="567"/>
      </w:pPr>
      <w:r w:rsidRPr="00331AFD">
        <w:t>–</w:t>
      </w:r>
      <w:r w:rsidRPr="00331AFD">
        <w:tab/>
      </w:r>
      <w:r w:rsidR="00245314">
        <w:t>p</w:t>
      </w:r>
      <w:r w:rsidRPr="00331AFD">
        <w:t xml:space="preserve">oslovne knjige ne daju točne podatke o potraživanjima od HZZO-a za obavljene zdravstvene usluge jer potraživanja nisu evidentirana, evidentirana su iznad ugovorenog maksimalnog iznosa (koje HZZO nije priznao) te ih je trebalo </w:t>
      </w:r>
      <w:proofErr w:type="spellStart"/>
      <w:r w:rsidRPr="00331AFD">
        <w:t>isknjižiti</w:t>
      </w:r>
      <w:proofErr w:type="spellEnd"/>
      <w:r w:rsidRPr="00331AFD">
        <w:t xml:space="preserve"> ili potraživanja nisu istovjetna podacima iz Z</w:t>
      </w:r>
      <w:r w:rsidR="00D5105D">
        <w:t>apisnika o usklađenju s HZZO-om</w:t>
      </w:r>
    </w:p>
    <w:p w14:paraId="62E8C3AC" w14:textId="2A71B350" w:rsidR="00331AFD" w:rsidRPr="00331AFD" w:rsidRDefault="00331AFD" w:rsidP="00331AFD">
      <w:pPr>
        <w:tabs>
          <w:tab w:val="left" w:pos="567"/>
        </w:tabs>
        <w:ind w:left="567" w:hanging="567"/>
      </w:pPr>
      <w:r w:rsidRPr="00331AFD">
        <w:t>–      podaci o rashodima za medicinski potrošni materijal i lijekove nisu realno iskaza</w:t>
      </w:r>
      <w:r w:rsidR="0061190F">
        <w:t xml:space="preserve">ni jer su rashodi evidentirani </w:t>
      </w:r>
      <w:r w:rsidRPr="00331AFD">
        <w:t>u trenutku nabave umjesto u trenutku utroška</w:t>
      </w:r>
    </w:p>
    <w:p w14:paraId="16A7954C" w14:textId="369D5A41" w:rsidR="00331AFD" w:rsidRPr="005C596B" w:rsidRDefault="00331AFD" w:rsidP="00331AFD">
      <w:pPr>
        <w:tabs>
          <w:tab w:val="left" w:pos="567"/>
        </w:tabs>
        <w:ind w:left="567" w:hanging="567"/>
      </w:pPr>
      <w:r w:rsidRPr="00331AFD">
        <w:t xml:space="preserve">–   </w:t>
      </w:r>
      <w:r w:rsidR="009D4F36">
        <w:t xml:space="preserve"> </w:t>
      </w:r>
      <w:r w:rsidRPr="00331AFD">
        <w:t xml:space="preserve">podaci o zalihama medicinskog potrošnog materijala nisu evidentirani u poslovnim knjigama ili nisu </w:t>
      </w:r>
      <w:r w:rsidRPr="005C596B">
        <w:t>evidentirani u točnom iznosu</w:t>
      </w:r>
    </w:p>
    <w:p w14:paraId="36174918" w14:textId="71BF571C" w:rsidR="00331AFD" w:rsidRPr="005C596B" w:rsidRDefault="00331AFD" w:rsidP="00331AFD">
      <w:pPr>
        <w:tabs>
          <w:tab w:val="left" w:pos="567"/>
        </w:tabs>
        <w:ind w:left="567" w:hanging="567"/>
        <w:rPr>
          <w:rFonts w:eastAsia="Calibri"/>
          <w:lang w:eastAsia="en-US"/>
        </w:rPr>
      </w:pPr>
      <w:r w:rsidRPr="005C596B">
        <w:t>–</w:t>
      </w:r>
      <w:r w:rsidRPr="005C596B">
        <w:rPr>
          <w:rFonts w:eastAsia="Calibri"/>
          <w:lang w:eastAsia="en-US"/>
        </w:rPr>
        <w:t xml:space="preserve"> </w:t>
      </w:r>
      <w:r w:rsidRPr="005C596B">
        <w:rPr>
          <w:rFonts w:eastAsia="Calibri"/>
          <w:lang w:eastAsia="en-US"/>
        </w:rPr>
        <w:tab/>
        <w:t xml:space="preserve">zavodi za javno zdravstvo obavili </w:t>
      </w:r>
      <w:r w:rsidR="0061190F" w:rsidRPr="005C596B">
        <w:rPr>
          <w:rFonts w:eastAsia="Calibri"/>
          <w:lang w:eastAsia="en-US"/>
        </w:rPr>
        <w:t xml:space="preserve">su popis imovine i obveza, ali </w:t>
      </w:r>
      <w:r w:rsidRPr="005C596B">
        <w:rPr>
          <w:rFonts w:eastAsia="Calibri"/>
          <w:lang w:eastAsia="en-US"/>
        </w:rPr>
        <w:t xml:space="preserve">je kod pojedinih utvrđeno da obavljeni popis nije cjelovit </w:t>
      </w:r>
    </w:p>
    <w:p w14:paraId="365BF84F" w14:textId="6DFF6D9C" w:rsidR="00331AFD" w:rsidRPr="002C07E5" w:rsidRDefault="005027B3" w:rsidP="005027B3">
      <w:pPr>
        <w:tabs>
          <w:tab w:val="left" w:pos="567"/>
        </w:tabs>
        <w:ind w:left="567" w:hanging="567"/>
        <w:rPr>
          <w:rFonts w:eastAsia="Calibri"/>
          <w:lang w:eastAsia="en-US"/>
        </w:rPr>
      </w:pPr>
      <w:r>
        <w:t xml:space="preserve">–     </w:t>
      </w:r>
      <w:r w:rsidR="00331AFD" w:rsidRPr="00331AFD">
        <w:t xml:space="preserve">kod većine zavoda za javno zdravstvo određeni broj zaposlenika ostvario je više od Zakonom o radu i </w:t>
      </w:r>
      <w:r w:rsidR="00331AFD" w:rsidRPr="00331AFD">
        <w:rPr>
          <w:rFonts w:eastAsia="Calibri"/>
          <w:lang w:eastAsia="en-US"/>
        </w:rPr>
        <w:t xml:space="preserve">Kolektivnog ugovora za djelatnost zdravstva i zdravstvenog </w:t>
      </w:r>
      <w:r w:rsidR="00331AFD" w:rsidRPr="002C07E5">
        <w:rPr>
          <w:rFonts w:eastAsia="Calibri"/>
          <w:lang w:eastAsia="en-US"/>
        </w:rPr>
        <w:t>osiguranja propisanih 180 sati prekovremenih sati godišnje</w:t>
      </w:r>
    </w:p>
    <w:p w14:paraId="373FA20F" w14:textId="33E9CD8C" w:rsidR="00331AFD" w:rsidRPr="002C07E5" w:rsidRDefault="00331AFD" w:rsidP="00331AFD">
      <w:pPr>
        <w:tabs>
          <w:tab w:val="left" w:pos="567"/>
        </w:tabs>
        <w:ind w:left="567" w:hanging="567"/>
        <w:rPr>
          <w:rFonts w:eastAsia="Calibri"/>
          <w:lang w:eastAsia="en-US"/>
        </w:rPr>
      </w:pPr>
      <w:r w:rsidRPr="002C07E5">
        <w:rPr>
          <w:rFonts w:eastAsia="Calibri"/>
          <w:lang w:eastAsia="en-US"/>
        </w:rPr>
        <w:t>–</w:t>
      </w:r>
      <w:r w:rsidRPr="002C07E5">
        <w:rPr>
          <w:rFonts w:eastAsia="Calibri"/>
          <w:lang w:eastAsia="en-US"/>
        </w:rPr>
        <w:tab/>
        <w:t>manji broj zavoda za javno zdravstvo nije za pojedine nabave proveo postupke javne nabave ili nije provodio postupke nab</w:t>
      </w:r>
      <w:r w:rsidR="00384038" w:rsidRPr="002C07E5">
        <w:rPr>
          <w:rFonts w:eastAsia="Calibri"/>
          <w:lang w:eastAsia="en-US"/>
        </w:rPr>
        <w:t>ave propisane unutarnjim aktima; p</w:t>
      </w:r>
      <w:r w:rsidRPr="002C07E5">
        <w:rPr>
          <w:rFonts w:eastAsia="Calibri"/>
          <w:lang w:eastAsia="en-US"/>
        </w:rPr>
        <w:t>odaci u registru ugovora o javnoj nabavi i</w:t>
      </w:r>
      <w:r w:rsidR="00384038" w:rsidRPr="002C07E5">
        <w:rPr>
          <w:rFonts w:eastAsia="Calibri"/>
          <w:lang w:eastAsia="en-US"/>
        </w:rPr>
        <w:t xml:space="preserve"> okvirnih sporazuma nisu točni (</w:t>
      </w:r>
      <w:r w:rsidRPr="002C07E5">
        <w:rPr>
          <w:rFonts w:eastAsia="Calibri"/>
          <w:lang w:eastAsia="en-US"/>
        </w:rPr>
        <w:t xml:space="preserve">ne sadrže podatke o jednostavnoj nabavi nekih roba, radova ili usluga ili </w:t>
      </w:r>
      <w:r w:rsidR="00384038" w:rsidRPr="002C07E5">
        <w:rPr>
          <w:rFonts w:eastAsia="Calibri"/>
          <w:lang w:eastAsia="en-US"/>
        </w:rPr>
        <w:t>ne sadrže neke obvezne elemente).</w:t>
      </w:r>
    </w:p>
    <w:p w14:paraId="2B7F4FCC" w14:textId="77777777" w:rsidR="00384038" w:rsidRPr="002C07E5" w:rsidRDefault="00384038" w:rsidP="00331AFD">
      <w:pPr>
        <w:tabs>
          <w:tab w:val="left" w:pos="567"/>
        </w:tabs>
        <w:ind w:left="567" w:hanging="567"/>
        <w:rPr>
          <w:rFonts w:eastAsia="Calibri"/>
          <w:lang w:eastAsia="en-US"/>
        </w:rPr>
      </w:pPr>
    </w:p>
    <w:p w14:paraId="1AF43E7B" w14:textId="715160AA" w:rsidR="005027B3" w:rsidRPr="002C07E5" w:rsidRDefault="00331AFD" w:rsidP="005027B3">
      <w:pPr>
        <w:tabs>
          <w:tab w:val="left" w:pos="0"/>
          <w:tab w:val="left" w:pos="567"/>
        </w:tabs>
        <w:rPr>
          <w:rFonts w:eastAsia="Calibri"/>
          <w:lang w:eastAsia="en-US"/>
        </w:rPr>
      </w:pPr>
      <w:r w:rsidRPr="002C07E5">
        <w:rPr>
          <w:rFonts w:eastAsia="Calibri"/>
          <w:lang w:eastAsia="en-US"/>
        </w:rPr>
        <w:tab/>
      </w:r>
      <w:r w:rsidR="005027B3" w:rsidRPr="002C07E5">
        <w:rPr>
          <w:rFonts w:eastAsia="Calibri"/>
          <w:lang w:eastAsia="en-US"/>
        </w:rPr>
        <w:t xml:space="preserve">Za utvrđene nepravilnosti i propuste u poslovanju Ured je zavodima za javno zdravstvo dao 261 nalog i preporuku, čija bi provedba pridonijela realnijem iskazivanju podataka u financijskim izvještajima i unaprjeđenju pravilnosti njihovog poslovanja. </w:t>
      </w:r>
    </w:p>
    <w:p w14:paraId="59F65B62" w14:textId="77777777" w:rsidR="00072491" w:rsidRDefault="00072491" w:rsidP="005027B3">
      <w:pPr>
        <w:tabs>
          <w:tab w:val="left" w:pos="0"/>
          <w:tab w:val="left" w:pos="567"/>
        </w:tabs>
        <w:rPr>
          <w:rFonts w:eastAsia="Calibri"/>
          <w:lang w:eastAsia="en-US"/>
        </w:rPr>
      </w:pPr>
    </w:p>
    <w:p w14:paraId="223591AC" w14:textId="270DAF21" w:rsidR="00331AFD" w:rsidRPr="00331AFD" w:rsidRDefault="005027B3" w:rsidP="005027B3">
      <w:pPr>
        <w:tabs>
          <w:tab w:val="left" w:pos="0"/>
          <w:tab w:val="left" w:pos="567"/>
        </w:tabs>
        <w:rPr>
          <w:b/>
        </w:rPr>
      </w:pPr>
      <w:r>
        <w:rPr>
          <w:rFonts w:eastAsia="Calibri"/>
          <w:lang w:eastAsia="en-US"/>
        </w:rPr>
        <w:tab/>
      </w:r>
      <w:r w:rsidR="00331AFD" w:rsidRPr="00331AFD">
        <w:rPr>
          <w:b/>
        </w:rPr>
        <w:t xml:space="preserve">Nepovoljno mišljenje o financijskim izvještajima i o usklađenosti poslovanja izraženo je Zavodu za javno zdravstvo Dubrovačko-neretvanske županije </w:t>
      </w:r>
      <w:r w:rsidR="00331AFD" w:rsidRPr="00331AFD">
        <w:rPr>
          <w:rFonts w:eastAsia="Calibri" w:cs="Arial"/>
          <w:b/>
        </w:rPr>
        <w:t xml:space="preserve">zbog značajnih nepravilnosti utvrđenih u svim područjima revizije. </w:t>
      </w:r>
    </w:p>
    <w:p w14:paraId="7C223006" w14:textId="77777777" w:rsidR="00331AFD" w:rsidRPr="00331AFD" w:rsidRDefault="00331AFD" w:rsidP="00331AFD">
      <w:pPr>
        <w:rPr>
          <w:rFonts w:eastAsia="Calibri"/>
        </w:rPr>
      </w:pPr>
    </w:p>
    <w:p w14:paraId="0F9FED52" w14:textId="05601093" w:rsidR="00331AFD" w:rsidRDefault="00331AFD" w:rsidP="00EE3381">
      <w:pPr>
        <w:widowControl/>
        <w:autoSpaceDE/>
        <w:autoSpaceDN/>
        <w:adjustRightInd/>
        <w:rPr>
          <w:rFonts w:eastAsia="Calibri"/>
          <w:b/>
          <w:szCs w:val="22"/>
          <w:lang w:eastAsia="en-US"/>
        </w:rPr>
      </w:pPr>
    </w:p>
    <w:p w14:paraId="037C4BB5" w14:textId="2D1AB28E" w:rsidR="00F83EA7" w:rsidRPr="009152C6" w:rsidRDefault="00331AFD" w:rsidP="007F5618">
      <w:pPr>
        <w:pStyle w:val="Odlomakpopisa"/>
        <w:numPr>
          <w:ilvl w:val="0"/>
          <w:numId w:val="5"/>
        </w:numPr>
        <w:ind w:left="567" w:hanging="567"/>
        <w:rPr>
          <w:rFonts w:eastAsia="Calibri"/>
        </w:rPr>
      </w:pPr>
      <w:r w:rsidRPr="009152C6">
        <w:rPr>
          <w:rFonts w:ascii="Arial" w:eastAsia="Calibri" w:hAnsi="Arial" w:cs="Arial"/>
          <w:b/>
          <w:sz w:val="24"/>
          <w:szCs w:val="24"/>
        </w:rPr>
        <w:t>DOMOVI ZDRAVLJA</w:t>
      </w:r>
    </w:p>
    <w:p w14:paraId="7895C343" w14:textId="2F91DB3B" w:rsidR="009152C6" w:rsidRPr="005C596B" w:rsidRDefault="009152C6" w:rsidP="009152C6">
      <w:pPr>
        <w:ind w:firstLine="567"/>
        <w:rPr>
          <w:rFonts w:cs="Arial"/>
        </w:rPr>
      </w:pPr>
      <w:r w:rsidRPr="005C596B">
        <w:rPr>
          <w:rFonts w:cs="Arial"/>
        </w:rPr>
        <w:t xml:space="preserve">Financijskom revizijom za 2023. </w:t>
      </w:r>
      <w:r w:rsidRPr="005C596B">
        <w:rPr>
          <w:rFonts w:cs="Arial"/>
          <w:b/>
        </w:rPr>
        <w:t>obuhvaćeno je 17 domova zdravlja</w:t>
      </w:r>
      <w:r w:rsidRPr="005C596B">
        <w:rPr>
          <w:rFonts w:cs="Arial"/>
        </w:rPr>
        <w:t xml:space="preserve">, korisnika županijskih </w:t>
      </w:r>
      <w:r w:rsidRPr="005C596B">
        <w:t>proračuna</w:t>
      </w:r>
      <w:r w:rsidR="007D0255" w:rsidRPr="005C596B">
        <w:t>.</w:t>
      </w:r>
    </w:p>
    <w:p w14:paraId="2470DBDA" w14:textId="77777777" w:rsidR="009152C6" w:rsidRPr="009152C6" w:rsidRDefault="009152C6" w:rsidP="009152C6">
      <w:pPr>
        <w:rPr>
          <w:rFonts w:cs="Arial"/>
          <w:color w:val="000000" w:themeColor="text1"/>
        </w:rPr>
      </w:pPr>
    </w:p>
    <w:p w14:paraId="4443C913" w14:textId="60BD540B" w:rsidR="009152C6" w:rsidRDefault="009152C6" w:rsidP="009152C6">
      <w:pPr>
        <w:ind w:firstLine="567"/>
        <w:rPr>
          <w:rFonts w:cs="Arial"/>
          <w:color w:val="000000" w:themeColor="text1"/>
        </w:rPr>
      </w:pPr>
      <w:r w:rsidRPr="009152C6">
        <w:rPr>
          <w:rFonts w:cs="Arial"/>
          <w:b/>
          <w:color w:val="000000" w:themeColor="text1"/>
        </w:rPr>
        <w:t>Ciljevi financijske revizije</w:t>
      </w:r>
      <w:r w:rsidRPr="009152C6">
        <w:rPr>
          <w:rFonts w:cs="Arial"/>
          <w:color w:val="000000" w:themeColor="text1"/>
        </w:rPr>
        <w:t xml:space="preserve"> bili su</w:t>
      </w:r>
      <w:r>
        <w:rPr>
          <w:rFonts w:cs="Arial"/>
          <w:color w:val="000000" w:themeColor="text1"/>
        </w:rPr>
        <w:t>:</w:t>
      </w:r>
    </w:p>
    <w:p w14:paraId="03E045AB" w14:textId="77777777" w:rsidR="009152C6" w:rsidRDefault="009152C6" w:rsidP="009152C6">
      <w:pPr>
        <w:tabs>
          <w:tab w:val="left" w:pos="567"/>
        </w:tabs>
        <w:rPr>
          <w:rFonts w:cs="Arial"/>
          <w:color w:val="000000" w:themeColor="text1"/>
        </w:rPr>
      </w:pPr>
      <w:r w:rsidRPr="009152C6">
        <w:rPr>
          <w:rFonts w:cs="Arial"/>
          <w:color w:val="000000" w:themeColor="text1"/>
        </w:rPr>
        <w:t>–</w:t>
      </w:r>
      <w:r>
        <w:rPr>
          <w:rFonts w:cs="Arial"/>
          <w:color w:val="000000" w:themeColor="text1"/>
        </w:rPr>
        <w:tab/>
      </w:r>
      <w:r w:rsidRPr="009152C6">
        <w:rPr>
          <w:rFonts w:cs="Arial"/>
          <w:color w:val="000000" w:themeColor="text1"/>
        </w:rPr>
        <w:t>provjeriti istinitost i vjerodostojnost financijskih izvještaja</w:t>
      </w:r>
    </w:p>
    <w:p w14:paraId="1C92440B" w14:textId="4DAE5AE8" w:rsidR="009152C6" w:rsidRDefault="009152C6" w:rsidP="009152C6">
      <w:pPr>
        <w:tabs>
          <w:tab w:val="left" w:pos="567"/>
        </w:tabs>
        <w:ind w:left="564" w:hanging="564"/>
        <w:rPr>
          <w:rFonts w:cs="Arial"/>
          <w:color w:val="000000" w:themeColor="text1"/>
        </w:rPr>
      </w:pPr>
      <w:r>
        <w:rPr>
          <w:rFonts w:cs="Arial"/>
          <w:color w:val="000000" w:themeColor="text1"/>
        </w:rPr>
        <w:t>–</w:t>
      </w:r>
      <w:r>
        <w:rPr>
          <w:rFonts w:cs="Arial"/>
          <w:color w:val="000000" w:themeColor="text1"/>
        </w:rPr>
        <w:tab/>
      </w:r>
      <w:r w:rsidRPr="009152C6">
        <w:rPr>
          <w:rFonts w:cs="Arial"/>
          <w:color w:val="000000" w:themeColor="text1"/>
        </w:rPr>
        <w:t>provjeriti ostvarenje prihoda i primitaka te rashoda i izdataka u skladu s planiranim aktivnostima i namjenama</w:t>
      </w:r>
    </w:p>
    <w:p w14:paraId="2302B822" w14:textId="77777777" w:rsidR="009152C6" w:rsidRDefault="009152C6" w:rsidP="009152C6">
      <w:pPr>
        <w:tabs>
          <w:tab w:val="left" w:pos="567"/>
        </w:tabs>
        <w:ind w:left="564" w:hanging="564"/>
        <w:rPr>
          <w:rFonts w:cs="Arial"/>
          <w:color w:val="000000" w:themeColor="text1"/>
        </w:rPr>
      </w:pPr>
      <w:r>
        <w:rPr>
          <w:rFonts w:cs="Arial"/>
          <w:color w:val="000000" w:themeColor="text1"/>
        </w:rPr>
        <w:t>–</w:t>
      </w:r>
      <w:r>
        <w:rPr>
          <w:rFonts w:cs="Arial"/>
          <w:color w:val="000000" w:themeColor="text1"/>
        </w:rPr>
        <w:tab/>
      </w:r>
      <w:r w:rsidRPr="009152C6">
        <w:rPr>
          <w:rFonts w:cs="Arial"/>
          <w:color w:val="000000" w:themeColor="text1"/>
        </w:rPr>
        <w:t>provjeriti usklađenost poslovanja sa zakonima i drugim propisima koji imaju značajan utjecaj na financijsko poslovanje</w:t>
      </w:r>
    </w:p>
    <w:p w14:paraId="21FADDF3" w14:textId="30218613" w:rsidR="00C01AF2" w:rsidRDefault="009152C6" w:rsidP="009152C6">
      <w:pPr>
        <w:tabs>
          <w:tab w:val="left" w:pos="567"/>
        </w:tabs>
        <w:ind w:left="564" w:hanging="564"/>
        <w:rPr>
          <w:rFonts w:cs="Arial"/>
          <w:color w:val="000000" w:themeColor="text1"/>
        </w:rPr>
      </w:pPr>
      <w:r>
        <w:rPr>
          <w:rFonts w:cs="Arial"/>
          <w:color w:val="000000" w:themeColor="text1"/>
        </w:rPr>
        <w:t>–</w:t>
      </w:r>
      <w:r>
        <w:rPr>
          <w:rFonts w:cs="Arial"/>
          <w:color w:val="000000" w:themeColor="text1"/>
        </w:rPr>
        <w:tab/>
      </w:r>
      <w:r w:rsidRPr="009152C6">
        <w:rPr>
          <w:rFonts w:cs="Arial"/>
          <w:color w:val="000000" w:themeColor="text1"/>
        </w:rPr>
        <w:t xml:space="preserve">provjeriti provedbu naloga i </w:t>
      </w:r>
      <w:r w:rsidR="00C01AF2">
        <w:rPr>
          <w:rFonts w:cs="Arial"/>
          <w:color w:val="000000" w:themeColor="text1"/>
        </w:rPr>
        <w:t>preporuka iz prošle revizije</w:t>
      </w:r>
    </w:p>
    <w:p w14:paraId="09C9B232" w14:textId="20971201" w:rsidR="009152C6" w:rsidRPr="00C01AF2" w:rsidRDefault="009152C6" w:rsidP="00C01AF2">
      <w:pPr>
        <w:pStyle w:val="Odlomakpopisa"/>
        <w:numPr>
          <w:ilvl w:val="0"/>
          <w:numId w:val="5"/>
        </w:numPr>
        <w:tabs>
          <w:tab w:val="left" w:pos="567"/>
        </w:tabs>
        <w:ind w:hanging="1080"/>
        <w:rPr>
          <w:rFonts w:cs="Arial"/>
          <w:color w:val="000000" w:themeColor="text1"/>
        </w:rPr>
      </w:pPr>
      <w:r w:rsidRPr="00C01AF2">
        <w:rPr>
          <w:rFonts w:ascii="Arial" w:hAnsi="Arial" w:cs="Arial"/>
          <w:color w:val="000000" w:themeColor="text1"/>
          <w:sz w:val="24"/>
          <w:szCs w:val="24"/>
        </w:rPr>
        <w:t>provjeriti druge aktivnosti u vezi s poslovanjem</w:t>
      </w:r>
      <w:r w:rsidRPr="00C01AF2">
        <w:rPr>
          <w:rFonts w:cs="Arial"/>
          <w:color w:val="000000" w:themeColor="text1"/>
        </w:rPr>
        <w:t>.</w:t>
      </w:r>
    </w:p>
    <w:p w14:paraId="747568AF" w14:textId="573DF50A" w:rsidR="00072491" w:rsidRDefault="00072491" w:rsidP="009152C6">
      <w:pPr>
        <w:tabs>
          <w:tab w:val="left" w:pos="567"/>
        </w:tabs>
        <w:ind w:left="564" w:hanging="564"/>
        <w:rPr>
          <w:rFonts w:cs="Arial"/>
          <w:color w:val="000000" w:themeColor="text1"/>
        </w:rPr>
      </w:pPr>
    </w:p>
    <w:p w14:paraId="55A7BE56" w14:textId="0464E3E9" w:rsidR="009152C6" w:rsidRDefault="009152C6" w:rsidP="009152C6">
      <w:pPr>
        <w:ind w:firstLine="567"/>
        <w:rPr>
          <w:rFonts w:cs="Arial"/>
          <w:b/>
        </w:rPr>
      </w:pPr>
      <w:r w:rsidRPr="009152C6">
        <w:rPr>
          <w:rFonts w:cs="Arial"/>
          <w:b/>
        </w:rPr>
        <w:lastRenderedPageBreak/>
        <w:t>O financijskim izvještajima domova zdravlja izraženo je pet bezuvjetnih i 12 uvjetnih mišljenja, kao i o usklađenosti poslovanja.</w:t>
      </w:r>
      <w:r w:rsidR="00072491">
        <w:rPr>
          <w:rFonts w:cs="Arial"/>
          <w:b/>
        </w:rPr>
        <w:t xml:space="preserve"> </w:t>
      </w:r>
    </w:p>
    <w:p w14:paraId="2D881EA3" w14:textId="77777777" w:rsidR="00072491" w:rsidRPr="00072491" w:rsidRDefault="00072491" w:rsidP="009152C6">
      <w:pPr>
        <w:ind w:firstLine="567"/>
        <w:rPr>
          <w:rFonts w:cs="Arial"/>
          <w:b/>
          <w:color w:val="17365D" w:themeColor="text2" w:themeShade="BF"/>
        </w:rPr>
      </w:pPr>
    </w:p>
    <w:p w14:paraId="57B91D48" w14:textId="3BCC8BB5" w:rsidR="008633A5" w:rsidRPr="002C07E5" w:rsidRDefault="009152C6" w:rsidP="008633A5">
      <w:pPr>
        <w:tabs>
          <w:tab w:val="left" w:pos="567"/>
        </w:tabs>
        <w:rPr>
          <w:rFonts w:eastAsiaTheme="minorHAnsi" w:cs="Arial"/>
          <w:szCs w:val="22"/>
          <w:lang w:eastAsia="en-US"/>
        </w:rPr>
      </w:pPr>
      <w:r w:rsidRPr="002C07E5">
        <w:rPr>
          <w:rFonts w:cs="Arial"/>
        </w:rPr>
        <w:tab/>
      </w:r>
      <w:r w:rsidR="00D538E2" w:rsidRPr="002C07E5">
        <w:rPr>
          <w:rFonts w:eastAsiaTheme="minorHAnsi" w:cs="Arial"/>
          <w:szCs w:val="22"/>
          <w:lang w:eastAsia="en-US"/>
        </w:rPr>
        <w:t>Revizijom su, između ostalog</w:t>
      </w:r>
      <w:r w:rsidR="008633A5" w:rsidRPr="002C07E5">
        <w:rPr>
          <w:rFonts w:eastAsiaTheme="minorHAnsi" w:cs="Arial"/>
          <w:szCs w:val="22"/>
          <w:lang w:eastAsia="en-US"/>
        </w:rPr>
        <w:t>, utvrđene sljedeće nepravilnosti i propusti:</w:t>
      </w:r>
    </w:p>
    <w:p w14:paraId="73A53888" w14:textId="67025A37" w:rsidR="008633A5" w:rsidRPr="002C07E5" w:rsidRDefault="008633A5" w:rsidP="008633A5">
      <w:pPr>
        <w:tabs>
          <w:tab w:val="left" w:pos="567"/>
        </w:tabs>
        <w:ind w:left="564" w:hanging="564"/>
        <w:contextualSpacing/>
        <w:rPr>
          <w:rFonts w:ascii="Times New Roman" w:eastAsia="Calibri" w:hAnsi="Times New Roman"/>
          <w:lang w:eastAsia="en-US"/>
        </w:rPr>
      </w:pPr>
      <w:r w:rsidRPr="002C07E5">
        <w:rPr>
          <w:rFonts w:cs="Arial"/>
        </w:rPr>
        <w:t>–</w:t>
      </w:r>
      <w:r w:rsidRPr="002C07E5">
        <w:rPr>
          <w:rFonts w:cs="Arial"/>
        </w:rPr>
        <w:tab/>
        <w:t>veći br</w:t>
      </w:r>
      <w:r w:rsidR="00D538E2" w:rsidRPr="002C07E5">
        <w:rPr>
          <w:rFonts w:cs="Arial"/>
        </w:rPr>
        <w:t>oj domova zdravlja nije donio program i plan razvoja ni</w:t>
      </w:r>
      <w:r w:rsidRPr="002C07E5">
        <w:rPr>
          <w:rFonts w:cs="Arial"/>
        </w:rPr>
        <w:t xml:space="preserve"> plan ulaganja u objekte i opremu</w:t>
      </w:r>
      <w:r w:rsidR="00D538E2" w:rsidRPr="002C07E5">
        <w:rPr>
          <w:rFonts w:cs="Arial"/>
        </w:rPr>
        <w:t>,</w:t>
      </w:r>
      <w:r w:rsidRPr="002C07E5">
        <w:rPr>
          <w:rFonts w:cs="Arial"/>
        </w:rPr>
        <w:t xml:space="preserve"> kao ni plan tekućeg i investicijskoga održavanja</w:t>
      </w:r>
      <w:r w:rsidR="00D538E2" w:rsidRPr="002C07E5">
        <w:rPr>
          <w:rFonts w:cs="Arial"/>
        </w:rPr>
        <w:t xml:space="preserve"> objekata, opreme i postrojenja</w:t>
      </w:r>
      <w:r w:rsidRPr="002C07E5">
        <w:rPr>
          <w:rFonts w:ascii="Times New Roman" w:eastAsia="Calibri" w:hAnsi="Times New Roman"/>
          <w:lang w:eastAsia="en-US"/>
        </w:rPr>
        <w:t xml:space="preserve"> </w:t>
      </w:r>
    </w:p>
    <w:p w14:paraId="2476B065" w14:textId="77777777" w:rsidR="008633A5" w:rsidRPr="002C07E5" w:rsidRDefault="008633A5" w:rsidP="008633A5">
      <w:pPr>
        <w:ind w:left="567" w:hanging="567"/>
        <w:rPr>
          <w:rFonts w:eastAsia="Calibri" w:cs="Arial"/>
          <w:lang w:eastAsia="en-US"/>
        </w:rPr>
      </w:pPr>
      <w:r w:rsidRPr="002C07E5">
        <w:rPr>
          <w:rFonts w:cs="Arial"/>
        </w:rPr>
        <w:t xml:space="preserve">– </w:t>
      </w:r>
      <w:r w:rsidRPr="002C07E5">
        <w:rPr>
          <w:rFonts w:cs="Arial"/>
        </w:rPr>
        <w:tab/>
      </w:r>
      <w:r w:rsidRPr="002C07E5">
        <w:rPr>
          <w:rFonts w:eastAsia="Calibri" w:cs="Arial"/>
          <w:lang w:eastAsia="en-US"/>
        </w:rPr>
        <w:t>kod pojedinih domova zdravlja podaci o potraživanjima od HZZO-a nisu usklađeni s podacima utvrđenim zapisnicima o usklađenju (s HZZO-om)</w:t>
      </w:r>
    </w:p>
    <w:p w14:paraId="7859D73F" w14:textId="7CA2E2C5" w:rsidR="008633A5" w:rsidRPr="002C07E5" w:rsidRDefault="008633A5" w:rsidP="008633A5">
      <w:pPr>
        <w:ind w:left="567" w:hanging="567"/>
        <w:rPr>
          <w:rFonts w:eastAsia="Calibri" w:cs="Arial"/>
          <w:strike/>
          <w:lang w:eastAsia="en-US"/>
        </w:rPr>
      </w:pPr>
      <w:r w:rsidRPr="002C07E5">
        <w:rPr>
          <w:rFonts w:cs="Arial"/>
        </w:rPr>
        <w:t>–</w:t>
      </w:r>
      <w:r w:rsidRPr="002C07E5">
        <w:rPr>
          <w:rFonts w:cs="Arial"/>
        </w:rPr>
        <w:tab/>
        <w:t xml:space="preserve">u većini domova zdravlja ne vodi se analitička knjigovodstvena evidencija za medicinski potrošni materijal po vrsti, količini i vrijednosti u ordinacijama i koncem godine nije obavljen popis zaliha te najveći broj </w:t>
      </w:r>
      <w:r w:rsidR="00D538E2" w:rsidRPr="002C07E5">
        <w:rPr>
          <w:rFonts w:eastAsia="Calibri" w:cs="Arial"/>
          <w:lang w:eastAsia="en-US"/>
        </w:rPr>
        <w:t>domova zdravlja ne raspolaže</w:t>
      </w:r>
      <w:r w:rsidRPr="002C07E5">
        <w:rPr>
          <w:rFonts w:eastAsia="Calibri" w:cs="Arial"/>
          <w:lang w:eastAsia="en-US"/>
        </w:rPr>
        <w:t xml:space="preserve"> informacijama o stanju zaliha, odnosno nije uspostavljen sustav praćenja zaliha; podaci o rashodima za medicinski potrošni materijal i lijekove nisu realno iskazani jer su rashodi evidentirani u trenutku nabave, a trebali su biti evidentirani u trenutku stvarnog utroška</w:t>
      </w:r>
    </w:p>
    <w:p w14:paraId="29A393CF" w14:textId="77777777" w:rsidR="008633A5" w:rsidRPr="002C07E5" w:rsidRDefault="008633A5" w:rsidP="008633A5">
      <w:pPr>
        <w:ind w:left="567" w:hanging="567"/>
        <w:rPr>
          <w:rFonts w:cs="Arial"/>
        </w:rPr>
      </w:pPr>
      <w:r w:rsidRPr="002C07E5">
        <w:rPr>
          <w:rFonts w:cs="Arial"/>
        </w:rPr>
        <w:t>–</w:t>
      </w:r>
      <w:r w:rsidRPr="002C07E5">
        <w:rPr>
          <w:rFonts w:cs="Arial"/>
        </w:rPr>
        <w:tab/>
        <w:t>d</w:t>
      </w:r>
      <w:r w:rsidRPr="002C07E5">
        <w:rPr>
          <w:rFonts w:eastAsia="Calibri" w:cs="Arial"/>
          <w:lang w:eastAsia="en-US"/>
        </w:rPr>
        <w:t>io domova zdravlja nije osigurao podatke o rokovima dospjelosti potraživanja te nije proveo ispravak vrijednosti potraživanja u poslovnim knjigama (u skladu s propisima), zbog čega podaci o potraživanjima (imovini) iskazani u financijskim izvještajima nisu realni</w:t>
      </w:r>
    </w:p>
    <w:p w14:paraId="036A32DC" w14:textId="77777777" w:rsidR="008633A5" w:rsidRPr="002C07E5" w:rsidRDefault="008633A5" w:rsidP="008633A5">
      <w:pPr>
        <w:widowControl/>
        <w:autoSpaceDE/>
        <w:autoSpaceDN/>
        <w:adjustRightInd/>
        <w:ind w:left="567" w:hanging="567"/>
        <w:rPr>
          <w:rFonts w:eastAsia="Calibri" w:cs="Arial"/>
          <w:lang w:eastAsia="en-US"/>
        </w:rPr>
      </w:pPr>
      <w:r w:rsidRPr="002C07E5">
        <w:rPr>
          <w:rFonts w:cs="Arial"/>
        </w:rPr>
        <w:t>–</w:t>
      </w:r>
      <w:r w:rsidRPr="002C07E5">
        <w:rPr>
          <w:rFonts w:cs="Arial"/>
        </w:rPr>
        <w:tab/>
      </w:r>
      <w:r w:rsidRPr="002C07E5">
        <w:rPr>
          <w:rFonts w:eastAsia="Calibri" w:cs="Arial"/>
          <w:lang w:eastAsia="en-US"/>
        </w:rPr>
        <w:t>popis imovine i obveza nije obavljen u skladu s propisima te nije postignuta osnovna svrha popisa (usklađenje knjigovodstvenog stanja i stanja utvrđenog popisom)</w:t>
      </w:r>
    </w:p>
    <w:p w14:paraId="1C2DE06A" w14:textId="77777777" w:rsidR="008633A5" w:rsidRPr="002C07E5" w:rsidRDefault="008633A5" w:rsidP="008633A5">
      <w:pPr>
        <w:widowControl/>
        <w:autoSpaceDE/>
        <w:autoSpaceDN/>
        <w:adjustRightInd/>
        <w:ind w:left="567" w:hanging="567"/>
        <w:rPr>
          <w:rFonts w:eastAsia="Calibri" w:cs="Arial"/>
          <w:lang w:eastAsia="en-US"/>
        </w:rPr>
      </w:pPr>
      <w:r w:rsidRPr="002C07E5">
        <w:rPr>
          <w:rFonts w:eastAsiaTheme="minorHAnsi" w:cs="Arial"/>
          <w:lang w:eastAsia="en-US"/>
        </w:rPr>
        <w:t>–</w:t>
      </w:r>
      <w:r w:rsidRPr="002C07E5">
        <w:rPr>
          <w:rFonts w:eastAsiaTheme="minorHAnsi" w:cs="Arial"/>
          <w:lang w:eastAsia="en-US"/>
        </w:rPr>
        <w:tab/>
      </w:r>
      <w:r w:rsidRPr="002C07E5">
        <w:rPr>
          <w:rFonts w:eastAsia="Calibri" w:cs="Arial"/>
          <w:lang w:eastAsia="en-US"/>
        </w:rPr>
        <w:t xml:space="preserve">za dospjela potraživanja nisu poduzimane mjere i aktivnosti za potpunu i pravodobnu naplatu potraživanja </w:t>
      </w:r>
    </w:p>
    <w:p w14:paraId="270708B8" w14:textId="77777777" w:rsidR="008633A5" w:rsidRPr="002C07E5" w:rsidRDefault="008633A5" w:rsidP="008633A5">
      <w:pPr>
        <w:widowControl/>
        <w:autoSpaceDE/>
        <w:autoSpaceDN/>
        <w:adjustRightInd/>
        <w:ind w:left="567" w:hanging="567"/>
        <w:rPr>
          <w:rFonts w:eastAsia="Calibri" w:cs="Arial"/>
          <w:sz w:val="18"/>
          <w:szCs w:val="18"/>
          <w:lang w:eastAsia="en-US"/>
        </w:rPr>
      </w:pPr>
      <w:r w:rsidRPr="002C07E5">
        <w:rPr>
          <w:rFonts w:eastAsiaTheme="minorHAnsi" w:cs="Arial"/>
          <w:lang w:eastAsia="en-US"/>
        </w:rPr>
        <w:t>–</w:t>
      </w:r>
      <w:r w:rsidRPr="002C07E5">
        <w:rPr>
          <w:rFonts w:eastAsiaTheme="minorHAnsi" w:cs="Arial"/>
          <w:lang w:eastAsia="en-US"/>
        </w:rPr>
        <w:tab/>
      </w:r>
      <w:r w:rsidRPr="002C07E5">
        <w:rPr>
          <w:rFonts w:eastAsia="Calibri" w:cs="Arial"/>
          <w:lang w:eastAsia="en-US"/>
        </w:rPr>
        <w:t xml:space="preserve">u većini domova zdravlja određeni broj zaposlenika ostvario je više od Zakonom o radu i Kolektivnim ugovorom za djelatnost zdravstva i zdravstvenog osiguranja propisanih 180 prekovremenih sati godišnje </w:t>
      </w:r>
      <w:r w:rsidRPr="002C07E5">
        <w:rPr>
          <w:rFonts w:eastAsia="Calibri" w:cs="Arial"/>
          <w:sz w:val="18"/>
          <w:szCs w:val="18"/>
          <w:lang w:eastAsia="en-US"/>
        </w:rPr>
        <w:t xml:space="preserve"> </w:t>
      </w:r>
    </w:p>
    <w:p w14:paraId="53E635E3" w14:textId="77777777" w:rsidR="008633A5" w:rsidRPr="002C07E5" w:rsidRDefault="008633A5" w:rsidP="008633A5">
      <w:pPr>
        <w:widowControl/>
        <w:autoSpaceDE/>
        <w:autoSpaceDN/>
        <w:adjustRightInd/>
        <w:ind w:left="567" w:hanging="567"/>
        <w:rPr>
          <w:rFonts w:eastAsia="Calibri" w:cs="Arial"/>
          <w:sz w:val="18"/>
          <w:szCs w:val="18"/>
          <w:lang w:eastAsia="en-US"/>
        </w:rPr>
      </w:pPr>
      <w:r w:rsidRPr="002C07E5">
        <w:rPr>
          <w:rFonts w:eastAsia="Calibri" w:cs="Arial"/>
          <w:sz w:val="18"/>
          <w:szCs w:val="18"/>
          <w:lang w:eastAsia="en-US"/>
        </w:rPr>
        <w:t xml:space="preserve"> </w:t>
      </w:r>
      <w:r w:rsidRPr="002C07E5">
        <w:rPr>
          <w:rFonts w:eastAsiaTheme="minorHAnsi" w:cs="Arial"/>
          <w:lang w:eastAsia="en-US"/>
        </w:rPr>
        <w:t>–</w:t>
      </w:r>
      <w:r w:rsidRPr="002C07E5">
        <w:rPr>
          <w:rFonts w:eastAsiaTheme="minorHAnsi" w:cs="Arial"/>
          <w:lang w:eastAsia="en-US"/>
        </w:rPr>
        <w:tab/>
        <w:t>iako su domovi zdravlja poduzimali određene aktivnosti za racionalizaciju poslovanja i smanjenja obveza, pojedini domovi zdravlja iskazali su značajnije dospjele obveze i manjak prihoda za pokriće u sljedećim razdobljima</w:t>
      </w:r>
    </w:p>
    <w:p w14:paraId="41AE2466" w14:textId="77777777" w:rsidR="008633A5" w:rsidRPr="002C07E5" w:rsidRDefault="008633A5" w:rsidP="008633A5">
      <w:pPr>
        <w:widowControl/>
        <w:autoSpaceDE/>
        <w:autoSpaceDN/>
        <w:adjustRightInd/>
        <w:ind w:left="567" w:hanging="567"/>
        <w:rPr>
          <w:rFonts w:eastAsia="Calibri" w:cs="Arial"/>
          <w:lang w:eastAsia="en-US"/>
        </w:rPr>
      </w:pPr>
      <w:r w:rsidRPr="002C07E5">
        <w:rPr>
          <w:rFonts w:eastAsia="Calibri" w:cs="Arial"/>
          <w:sz w:val="18"/>
          <w:szCs w:val="18"/>
          <w:lang w:eastAsia="en-US"/>
        </w:rPr>
        <w:t xml:space="preserve"> </w:t>
      </w:r>
      <w:r w:rsidRPr="002C07E5">
        <w:rPr>
          <w:rFonts w:eastAsiaTheme="minorHAnsi" w:cs="Arial"/>
          <w:lang w:eastAsia="en-US"/>
        </w:rPr>
        <w:t>–</w:t>
      </w:r>
      <w:r w:rsidRPr="002C07E5">
        <w:rPr>
          <w:rFonts w:eastAsiaTheme="minorHAnsi" w:cs="Arial"/>
          <w:lang w:eastAsia="en-US"/>
        </w:rPr>
        <w:tab/>
      </w:r>
      <w:r w:rsidRPr="002C07E5">
        <w:rPr>
          <w:rFonts w:eastAsia="Calibri" w:cs="Arial"/>
          <w:lang w:eastAsia="en-US"/>
        </w:rPr>
        <w:t>veći broj domova zdravlja za nabave roba i usluga nije proveo propisane postupke javne nabave ili postupke jednostavne nabave propisane unutarnjim aktima</w:t>
      </w:r>
    </w:p>
    <w:p w14:paraId="208DD7AF" w14:textId="210DEB52" w:rsidR="008633A5" w:rsidRPr="002C07E5" w:rsidRDefault="008633A5" w:rsidP="008D2482">
      <w:pPr>
        <w:widowControl/>
        <w:overflowPunct w:val="0"/>
        <w:adjustRightInd/>
        <w:ind w:left="567" w:hanging="567"/>
        <w:rPr>
          <w:rFonts w:eastAsia="Calibri" w:cs="Arial"/>
          <w:lang w:eastAsia="en-US"/>
        </w:rPr>
      </w:pPr>
      <w:r w:rsidRPr="002C07E5">
        <w:rPr>
          <w:rFonts w:eastAsiaTheme="minorHAnsi" w:cs="Arial"/>
          <w:lang w:eastAsia="en-US"/>
        </w:rPr>
        <w:t>–</w:t>
      </w:r>
      <w:r w:rsidRPr="002C07E5">
        <w:rPr>
          <w:rFonts w:eastAsiaTheme="minorHAnsi" w:cs="Arial"/>
          <w:lang w:eastAsia="en-US"/>
        </w:rPr>
        <w:tab/>
      </w:r>
      <w:r w:rsidRPr="002C07E5">
        <w:rPr>
          <w:rFonts w:eastAsia="Calibri" w:cs="Arial"/>
          <w:lang w:eastAsia="en-US"/>
        </w:rPr>
        <w:t>registri ugovora o javnoj nabav</w:t>
      </w:r>
      <w:r w:rsidR="00B5637D" w:rsidRPr="002C07E5">
        <w:rPr>
          <w:rFonts w:eastAsia="Calibri" w:cs="Arial"/>
          <w:lang w:eastAsia="en-US"/>
        </w:rPr>
        <w:t>i i okvirnih sporazuma ne sadrže</w:t>
      </w:r>
      <w:r w:rsidRPr="002C07E5">
        <w:rPr>
          <w:rFonts w:eastAsia="Calibri" w:cs="Arial"/>
          <w:lang w:eastAsia="en-US"/>
        </w:rPr>
        <w:t xml:space="preserve"> pojedine predmete nabave ili ne sadrže propisane podatke po pojedinim predmetima nabave</w:t>
      </w:r>
      <w:r w:rsidRPr="002C07E5">
        <w:rPr>
          <w:rFonts w:eastAsiaTheme="minorHAnsi" w:cs="Arial"/>
          <w:lang w:eastAsia="en-US"/>
        </w:rPr>
        <w:t xml:space="preserve">; nisu ustrojene evidencije putem kojih bi se pratilo i kontroliralo izvršenje ugovora o nabavi roba, radova i usluga te </w:t>
      </w:r>
      <w:r w:rsidRPr="002C07E5">
        <w:rPr>
          <w:rFonts w:eastAsia="Calibri" w:cs="Arial"/>
          <w:lang w:eastAsia="en-US"/>
        </w:rPr>
        <w:t>evidencije izdanih narudžbenica ili su ustrojene, ali nisu potpune; pojedina statistička izvješća nisu potpuna.</w:t>
      </w:r>
    </w:p>
    <w:p w14:paraId="0FBF35AD" w14:textId="507C9DA8" w:rsidR="00056100" w:rsidRPr="009152C6" w:rsidRDefault="00056100" w:rsidP="008633A5">
      <w:pPr>
        <w:tabs>
          <w:tab w:val="left" w:pos="567"/>
        </w:tabs>
        <w:rPr>
          <w:rFonts w:eastAsia="Calibri" w:cs="Arial"/>
          <w:color w:val="000000" w:themeColor="text1"/>
          <w:lang w:eastAsia="en-US"/>
        </w:rPr>
      </w:pPr>
    </w:p>
    <w:p w14:paraId="0C9CCAC8" w14:textId="75E0F167" w:rsidR="009152C6" w:rsidRPr="009152C6" w:rsidRDefault="009152C6" w:rsidP="009152C6">
      <w:pPr>
        <w:ind w:firstLine="567"/>
        <w:rPr>
          <w:rFonts w:eastAsiaTheme="minorHAnsi" w:cs="Arial"/>
          <w:lang w:eastAsia="en-US"/>
        </w:rPr>
      </w:pPr>
      <w:r w:rsidRPr="009152C6">
        <w:rPr>
          <w:rFonts w:eastAsiaTheme="minorHAnsi" w:cs="Arial"/>
          <w:lang w:eastAsia="en-US"/>
        </w:rPr>
        <w:t xml:space="preserve">Za sve utvrđene nepravilnosti i propuste domovima zdravlja </w:t>
      </w:r>
      <w:r w:rsidR="00047341">
        <w:rPr>
          <w:rFonts w:eastAsiaTheme="minorHAnsi" w:cs="Arial"/>
          <w:lang w:eastAsia="en-US"/>
        </w:rPr>
        <w:t>je dano</w:t>
      </w:r>
      <w:r w:rsidRPr="009152C6">
        <w:rPr>
          <w:rFonts w:eastAsiaTheme="minorHAnsi" w:cs="Arial"/>
          <w:color w:val="000000" w:themeColor="text1"/>
          <w:lang w:eastAsia="en-US"/>
        </w:rPr>
        <w:t xml:space="preserve"> </w:t>
      </w:r>
      <w:r w:rsidRPr="009152C6">
        <w:rPr>
          <w:rFonts w:eastAsiaTheme="minorHAnsi" w:cs="Arial"/>
          <w:b/>
          <w:color w:val="000000" w:themeColor="text1"/>
          <w:lang w:eastAsia="en-US"/>
        </w:rPr>
        <w:t xml:space="preserve">327 naloga </w:t>
      </w:r>
      <w:r w:rsidRPr="009152C6">
        <w:rPr>
          <w:rFonts w:eastAsiaTheme="minorHAnsi" w:cs="Arial"/>
          <w:b/>
          <w:lang w:eastAsia="en-US"/>
        </w:rPr>
        <w:t>i preporuka</w:t>
      </w:r>
      <w:r w:rsidRPr="009152C6">
        <w:rPr>
          <w:rFonts w:eastAsiaTheme="minorHAnsi" w:cs="Arial"/>
          <w:lang w:eastAsia="en-US"/>
        </w:rPr>
        <w:t xml:space="preserve">, čija bi provedba pridonijela istinitom, pouzdanom i točnom iskazivanju prihoda i primitaka, rashoda i izdataka, imovine, obveza, vlastitih izvora i </w:t>
      </w:r>
      <w:proofErr w:type="spellStart"/>
      <w:r w:rsidRPr="009152C6">
        <w:rPr>
          <w:rFonts w:eastAsiaTheme="minorHAnsi" w:cs="Arial"/>
          <w:lang w:eastAsia="en-US"/>
        </w:rPr>
        <w:t>izvanbilančnih</w:t>
      </w:r>
      <w:proofErr w:type="spellEnd"/>
      <w:r w:rsidRPr="009152C6">
        <w:rPr>
          <w:rFonts w:eastAsiaTheme="minorHAnsi" w:cs="Arial"/>
          <w:lang w:eastAsia="en-US"/>
        </w:rPr>
        <w:t xml:space="preserve"> zapisa u financijskim izvještajima, kao i povećanju usklađenosti poslovanja sa zakonima i drugim propisima te učinkovitosti korištenja sredstava.</w:t>
      </w:r>
    </w:p>
    <w:p w14:paraId="761C0B95" w14:textId="286530D1" w:rsidR="009152C6" w:rsidRDefault="009152C6" w:rsidP="009152C6">
      <w:pPr>
        <w:ind w:firstLine="708"/>
        <w:rPr>
          <w:rFonts w:cs="Arial"/>
          <w:color w:val="000000" w:themeColor="text1"/>
        </w:rPr>
      </w:pPr>
    </w:p>
    <w:p w14:paraId="4D0E86A2" w14:textId="414FE458" w:rsidR="008D2482" w:rsidRDefault="008D2482" w:rsidP="009152C6">
      <w:pPr>
        <w:ind w:firstLine="708"/>
        <w:rPr>
          <w:rFonts w:cs="Arial"/>
          <w:color w:val="000000" w:themeColor="text1"/>
        </w:rPr>
      </w:pPr>
    </w:p>
    <w:p w14:paraId="30F7E899" w14:textId="31A30D40" w:rsidR="008D2482" w:rsidRDefault="008D2482" w:rsidP="009152C6">
      <w:pPr>
        <w:ind w:firstLine="708"/>
        <w:rPr>
          <w:rFonts w:cs="Arial"/>
          <w:color w:val="000000" w:themeColor="text1"/>
        </w:rPr>
      </w:pPr>
    </w:p>
    <w:p w14:paraId="574017A8" w14:textId="50D865D7" w:rsidR="008D2482" w:rsidRDefault="008D2482" w:rsidP="009152C6">
      <w:pPr>
        <w:ind w:firstLine="708"/>
        <w:rPr>
          <w:rFonts w:cs="Arial"/>
          <w:color w:val="000000" w:themeColor="text1"/>
        </w:rPr>
      </w:pPr>
    </w:p>
    <w:p w14:paraId="18C7D2D5" w14:textId="44EFF42B" w:rsidR="008D2482" w:rsidRDefault="008D2482" w:rsidP="009152C6">
      <w:pPr>
        <w:ind w:firstLine="708"/>
        <w:rPr>
          <w:rFonts w:cs="Arial"/>
          <w:color w:val="000000" w:themeColor="text1"/>
        </w:rPr>
      </w:pPr>
    </w:p>
    <w:p w14:paraId="4476F7B4" w14:textId="23098551" w:rsidR="008D2482" w:rsidRDefault="008D2482" w:rsidP="009152C6">
      <w:pPr>
        <w:ind w:firstLine="708"/>
        <w:rPr>
          <w:rFonts w:cs="Arial"/>
          <w:color w:val="000000" w:themeColor="text1"/>
        </w:rPr>
      </w:pPr>
    </w:p>
    <w:p w14:paraId="3F4C2E7F" w14:textId="68A08F35" w:rsidR="008D2482" w:rsidRDefault="008D2482" w:rsidP="009152C6">
      <w:pPr>
        <w:ind w:firstLine="708"/>
        <w:rPr>
          <w:rFonts w:cs="Arial"/>
          <w:color w:val="000000" w:themeColor="text1"/>
        </w:rPr>
      </w:pPr>
    </w:p>
    <w:p w14:paraId="72A2D29F" w14:textId="77777777" w:rsidR="008D2482" w:rsidRDefault="008D2482" w:rsidP="009152C6">
      <w:pPr>
        <w:ind w:firstLine="708"/>
        <w:rPr>
          <w:rFonts w:cs="Arial"/>
          <w:color w:val="000000" w:themeColor="text1"/>
        </w:rPr>
      </w:pPr>
    </w:p>
    <w:p w14:paraId="2A62D190" w14:textId="357ADB68" w:rsidR="000D3F85" w:rsidRPr="009152C6" w:rsidRDefault="000D3F85" w:rsidP="009152C6">
      <w:pPr>
        <w:ind w:firstLine="708"/>
        <w:rPr>
          <w:rFonts w:cs="Arial"/>
          <w:color w:val="000000" w:themeColor="text1"/>
        </w:rPr>
      </w:pPr>
    </w:p>
    <w:p w14:paraId="30818A7D" w14:textId="42D40B2E" w:rsidR="008D328E" w:rsidRDefault="00A036F9" w:rsidP="00A036F9">
      <w:pPr>
        <w:kinsoku w:val="0"/>
        <w:overflowPunct w:val="0"/>
        <w:ind w:left="567" w:right="-1" w:hanging="567"/>
        <w:rPr>
          <w:rFonts w:cs="Arial"/>
          <w:b/>
        </w:rPr>
      </w:pPr>
      <w:r w:rsidRPr="00A036F9">
        <w:rPr>
          <w:rFonts w:cs="Arial"/>
          <w:b/>
        </w:rPr>
        <w:lastRenderedPageBreak/>
        <w:t>–</w:t>
      </w:r>
      <w:r>
        <w:rPr>
          <w:rFonts w:cs="Arial"/>
          <w:b/>
        </w:rPr>
        <w:tab/>
      </w:r>
      <w:r w:rsidRPr="00A036F9">
        <w:rPr>
          <w:rFonts w:cs="Arial"/>
          <w:b/>
        </w:rPr>
        <w:t>TRGOVAČKA DRUŠTVA U VLASNIŠTVU JEDINICA LOKALNE I PODRUČNE (REGIONALNE) SAMOUPRAVE</w:t>
      </w:r>
    </w:p>
    <w:p w14:paraId="59F76E16" w14:textId="77777777" w:rsidR="000123F8" w:rsidRDefault="000123F8" w:rsidP="00671132">
      <w:pPr>
        <w:kinsoku w:val="0"/>
        <w:overflowPunct w:val="0"/>
        <w:ind w:right="-1" w:firstLine="567"/>
        <w:rPr>
          <w:rFonts w:cs="Arial"/>
          <w:color w:val="17365D" w:themeColor="text2" w:themeShade="BF"/>
        </w:rPr>
      </w:pPr>
    </w:p>
    <w:p w14:paraId="705B4656" w14:textId="2E417BA4" w:rsidR="000E790D" w:rsidRPr="000123F8" w:rsidRDefault="000E790D" w:rsidP="008D2482">
      <w:pPr>
        <w:kinsoku w:val="0"/>
        <w:overflowPunct w:val="0"/>
        <w:ind w:left="567" w:right="-1"/>
        <w:rPr>
          <w:rFonts w:cs="Arial"/>
        </w:rPr>
      </w:pPr>
      <w:r w:rsidRPr="000123F8">
        <w:rPr>
          <w:rFonts w:cs="Arial"/>
        </w:rPr>
        <w:t xml:space="preserve">Obavljena je revizija </w:t>
      </w:r>
      <w:r w:rsidR="00384038">
        <w:rPr>
          <w:rFonts w:cs="Arial"/>
        </w:rPr>
        <w:t>šest t</w:t>
      </w:r>
      <w:r w:rsidR="00262717" w:rsidRPr="000123F8">
        <w:rPr>
          <w:rFonts w:cs="Arial"/>
        </w:rPr>
        <w:t>rgovačkih</w:t>
      </w:r>
      <w:r w:rsidRPr="000123F8">
        <w:rPr>
          <w:rFonts w:cs="Arial"/>
        </w:rPr>
        <w:t xml:space="preserve"> društava</w:t>
      </w:r>
      <w:r w:rsidR="00671132" w:rsidRPr="000123F8">
        <w:rPr>
          <w:rFonts w:cs="Arial"/>
        </w:rPr>
        <w:t xml:space="preserve">, kojima </w:t>
      </w:r>
      <w:r w:rsidR="00F4160A" w:rsidRPr="00F4160A">
        <w:rPr>
          <w:rFonts w:cs="Arial"/>
        </w:rPr>
        <w:t>su obuhvaćeni</w:t>
      </w:r>
      <w:r w:rsidR="00F4160A">
        <w:rPr>
          <w:rFonts w:cs="Arial"/>
        </w:rPr>
        <w:t xml:space="preserve"> financijski izvještaji</w:t>
      </w:r>
      <w:r w:rsidR="00671132" w:rsidRPr="000123F8">
        <w:rPr>
          <w:rFonts w:cs="Arial"/>
        </w:rPr>
        <w:t xml:space="preserve"> i poslovanje za 2023.</w:t>
      </w:r>
      <w:r w:rsidRPr="000123F8">
        <w:rPr>
          <w:rFonts w:cs="Arial"/>
        </w:rPr>
        <w:t>:</w:t>
      </w:r>
    </w:p>
    <w:p w14:paraId="72E51AC4" w14:textId="50936CED" w:rsidR="00671132" w:rsidRPr="000123F8" w:rsidRDefault="00671132" w:rsidP="00671132">
      <w:pPr>
        <w:kinsoku w:val="0"/>
        <w:overflowPunct w:val="0"/>
        <w:ind w:left="567" w:right="-1" w:hanging="567"/>
        <w:rPr>
          <w:rFonts w:cs="Arial"/>
        </w:rPr>
      </w:pPr>
      <w:r w:rsidRPr="000123F8">
        <w:rPr>
          <w:rFonts w:cs="Arial"/>
        </w:rPr>
        <w:t>–</w:t>
      </w:r>
      <w:r w:rsidRPr="000123F8">
        <w:rPr>
          <w:rFonts w:cs="Arial"/>
        </w:rPr>
        <w:tab/>
      </w:r>
      <w:proofErr w:type="spellStart"/>
      <w:r w:rsidRPr="000123F8">
        <w:rPr>
          <w:rFonts w:cs="Arial"/>
        </w:rPr>
        <w:t>Juština</w:t>
      </w:r>
      <w:proofErr w:type="spellEnd"/>
      <w:r w:rsidRPr="000123F8">
        <w:rPr>
          <w:rFonts w:cs="Arial"/>
        </w:rPr>
        <w:t xml:space="preserve"> d.o.o., </w:t>
      </w:r>
      <w:proofErr w:type="spellStart"/>
      <w:r w:rsidRPr="000123F8">
        <w:rPr>
          <w:rFonts w:cs="Arial"/>
        </w:rPr>
        <w:t>Pakoštane</w:t>
      </w:r>
      <w:proofErr w:type="spellEnd"/>
      <w:r w:rsidRPr="000123F8">
        <w:rPr>
          <w:rFonts w:cs="Arial"/>
        </w:rPr>
        <w:tab/>
      </w:r>
    </w:p>
    <w:p w14:paraId="5A40C62A" w14:textId="589097E9" w:rsidR="00671132" w:rsidRPr="000123F8" w:rsidRDefault="00671132" w:rsidP="00671132">
      <w:pPr>
        <w:kinsoku w:val="0"/>
        <w:overflowPunct w:val="0"/>
        <w:ind w:left="567" w:right="-1" w:hanging="567"/>
        <w:rPr>
          <w:rFonts w:cs="Arial"/>
        </w:rPr>
      </w:pPr>
      <w:r w:rsidRPr="000123F8">
        <w:rPr>
          <w:rFonts w:cs="Arial"/>
        </w:rPr>
        <w:t>–</w:t>
      </w:r>
      <w:r w:rsidRPr="000123F8">
        <w:rPr>
          <w:rFonts w:cs="Arial"/>
        </w:rPr>
        <w:tab/>
        <w:t>Komunalac d.o.o., Biograd na Moru</w:t>
      </w:r>
    </w:p>
    <w:p w14:paraId="01FF27EE" w14:textId="04D8269E" w:rsidR="00671132" w:rsidRPr="000123F8" w:rsidRDefault="00671132" w:rsidP="00671132">
      <w:pPr>
        <w:kinsoku w:val="0"/>
        <w:overflowPunct w:val="0"/>
        <w:ind w:left="567" w:right="-1" w:hanging="567"/>
        <w:rPr>
          <w:rFonts w:cs="Arial"/>
        </w:rPr>
      </w:pPr>
      <w:r w:rsidRPr="000123F8">
        <w:rPr>
          <w:rFonts w:cs="Arial"/>
        </w:rPr>
        <w:t xml:space="preserve">– </w:t>
      </w:r>
      <w:r w:rsidRPr="000123F8">
        <w:rPr>
          <w:rFonts w:cs="Arial"/>
        </w:rPr>
        <w:tab/>
        <w:t xml:space="preserve">Komunalac </w:t>
      </w:r>
      <w:proofErr w:type="spellStart"/>
      <w:r w:rsidRPr="000123F8">
        <w:rPr>
          <w:rFonts w:cs="Arial"/>
        </w:rPr>
        <w:t>Konjščina</w:t>
      </w:r>
      <w:proofErr w:type="spellEnd"/>
      <w:r w:rsidRPr="000123F8">
        <w:rPr>
          <w:rFonts w:cs="Arial"/>
        </w:rPr>
        <w:t xml:space="preserve"> d.o.o.</w:t>
      </w:r>
      <w:r w:rsidRPr="000123F8">
        <w:rPr>
          <w:rFonts w:cs="Arial"/>
        </w:rPr>
        <w:tab/>
      </w:r>
    </w:p>
    <w:p w14:paraId="34AB93CD" w14:textId="1BC4BDE4" w:rsidR="00671132" w:rsidRPr="000123F8" w:rsidRDefault="00671132" w:rsidP="00671132">
      <w:pPr>
        <w:kinsoku w:val="0"/>
        <w:overflowPunct w:val="0"/>
        <w:ind w:left="567" w:right="-1" w:hanging="567"/>
        <w:rPr>
          <w:rFonts w:cs="Arial"/>
        </w:rPr>
      </w:pPr>
      <w:r w:rsidRPr="000123F8">
        <w:rPr>
          <w:rFonts w:cs="Arial"/>
        </w:rPr>
        <w:t>–</w:t>
      </w:r>
      <w:r w:rsidRPr="000123F8">
        <w:rPr>
          <w:rFonts w:cs="Arial"/>
        </w:rPr>
        <w:tab/>
        <w:t>Poduzetnički centar Krapinsko-zagorske županije d.o.o., Krapina</w:t>
      </w:r>
    </w:p>
    <w:p w14:paraId="3551FE1C" w14:textId="028CF08F" w:rsidR="00671132" w:rsidRPr="000123F8" w:rsidRDefault="00671132" w:rsidP="00671132">
      <w:pPr>
        <w:kinsoku w:val="0"/>
        <w:overflowPunct w:val="0"/>
        <w:ind w:left="567" w:right="-1" w:hanging="567"/>
        <w:rPr>
          <w:rFonts w:cs="Arial"/>
        </w:rPr>
      </w:pPr>
      <w:r w:rsidRPr="000123F8">
        <w:rPr>
          <w:rFonts w:cs="Arial"/>
        </w:rPr>
        <w:t>–</w:t>
      </w:r>
      <w:r w:rsidRPr="000123F8">
        <w:rPr>
          <w:rFonts w:cs="Arial"/>
        </w:rPr>
        <w:tab/>
        <w:t>Športski centar Višnjik d.o.o., Zadar</w:t>
      </w:r>
    </w:p>
    <w:p w14:paraId="74AA9BD3" w14:textId="274CBCBD" w:rsidR="008D328E" w:rsidRPr="000123F8" w:rsidRDefault="00671132" w:rsidP="00671132">
      <w:pPr>
        <w:kinsoku w:val="0"/>
        <w:overflowPunct w:val="0"/>
        <w:ind w:left="567" w:right="-1" w:hanging="567"/>
        <w:rPr>
          <w:rFonts w:cs="Arial"/>
        </w:rPr>
      </w:pPr>
      <w:r w:rsidRPr="000123F8">
        <w:rPr>
          <w:rFonts w:cs="Arial"/>
        </w:rPr>
        <w:t>–</w:t>
      </w:r>
      <w:r w:rsidRPr="000123F8">
        <w:rPr>
          <w:rFonts w:cs="Arial"/>
        </w:rPr>
        <w:tab/>
        <w:t>Vodovod Korenica d.o.o.</w:t>
      </w:r>
      <w:r w:rsidRPr="000123F8">
        <w:rPr>
          <w:rFonts w:cs="Arial"/>
        </w:rPr>
        <w:tab/>
      </w:r>
    </w:p>
    <w:p w14:paraId="3A02A393" w14:textId="77777777" w:rsidR="00671132" w:rsidRPr="008D328E" w:rsidRDefault="00671132" w:rsidP="00671132">
      <w:pPr>
        <w:kinsoku w:val="0"/>
        <w:overflowPunct w:val="0"/>
        <w:ind w:right="-1" w:firstLine="567"/>
        <w:rPr>
          <w:rFonts w:cs="Arial"/>
        </w:rPr>
      </w:pPr>
    </w:p>
    <w:p w14:paraId="4F5225A3" w14:textId="6584E6B4" w:rsidR="008D328E" w:rsidRPr="008D328E" w:rsidRDefault="008D328E" w:rsidP="000E790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r w:rsidRPr="008D328E">
        <w:rPr>
          <w:rFonts w:cs="Arial"/>
          <w:b/>
        </w:rPr>
        <w:tab/>
        <w:t>Ciljevi revizije bili su:</w:t>
      </w:r>
    </w:p>
    <w:p w14:paraId="1D7AC0E6" w14:textId="77777777" w:rsidR="008D328E" w:rsidRPr="008D328E" w:rsidRDefault="008D328E" w:rsidP="007F5618">
      <w:pPr>
        <w:widowControl/>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8D328E">
        <w:rPr>
          <w:rFonts w:cs="Arial"/>
        </w:rPr>
        <w:t xml:space="preserve">provjeriti istinitost i vjerodostojnost financijskih izvještaja </w:t>
      </w:r>
    </w:p>
    <w:p w14:paraId="0946F380" w14:textId="77777777" w:rsidR="008D328E" w:rsidRPr="008D328E" w:rsidRDefault="008D328E" w:rsidP="007F5618">
      <w:pPr>
        <w:widowControl/>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8D328E">
        <w:rPr>
          <w:rFonts w:cs="Arial"/>
        </w:rPr>
        <w:t>provjeriti usklađenost poslovanja sa zakonima i drugim propisima koji imaju značajan utjecaj na poslovanje</w:t>
      </w:r>
    </w:p>
    <w:p w14:paraId="01F834F8" w14:textId="77777777" w:rsidR="008D328E" w:rsidRPr="008D328E" w:rsidRDefault="008D328E" w:rsidP="007F5618">
      <w:pPr>
        <w:widowControl/>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8D328E">
        <w:rPr>
          <w:rFonts w:cs="Arial"/>
        </w:rPr>
        <w:t xml:space="preserve">provjeriti provedbu naloga i preporuka iz prošle revizije </w:t>
      </w:r>
    </w:p>
    <w:p w14:paraId="2A14BBCD" w14:textId="36936607" w:rsidR="008D328E" w:rsidRDefault="008D328E" w:rsidP="007F5618">
      <w:pPr>
        <w:widowControl/>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rFonts w:cs="Arial"/>
        </w:rPr>
      </w:pPr>
      <w:r w:rsidRPr="008D328E">
        <w:rPr>
          <w:rFonts w:cs="Arial"/>
        </w:rPr>
        <w:t>provjeriti druge aktivnosti u vezi s poslovanjem subjekta.</w:t>
      </w:r>
    </w:p>
    <w:p w14:paraId="25D24E5A" w14:textId="77777777" w:rsidR="000E790D" w:rsidRDefault="000E790D" w:rsidP="000E790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930"/>
        <w:contextualSpacing/>
        <w:textAlignment w:val="baseline"/>
        <w:rPr>
          <w:rFonts w:cs="Arial"/>
        </w:rPr>
      </w:pPr>
    </w:p>
    <w:p w14:paraId="4FBDDDD4" w14:textId="10149C0E" w:rsidR="000E790D" w:rsidRPr="008D328E" w:rsidRDefault="000E790D" w:rsidP="000E790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rFonts w:cs="Arial"/>
          <w:b/>
        </w:rPr>
      </w:pPr>
      <w:r>
        <w:rPr>
          <w:rFonts w:cs="Arial"/>
        </w:rPr>
        <w:tab/>
      </w:r>
      <w:r w:rsidRPr="000E790D">
        <w:rPr>
          <w:rFonts w:cs="Arial"/>
          <w:b/>
        </w:rPr>
        <w:t>O financijskim izvještajima izražena su tri bezuvjetna i tri uvjetna mišljenja, a o usklađenosti poslovanja jedno bezuvjetno i pet uvjetnih mišljenja.</w:t>
      </w:r>
    </w:p>
    <w:p w14:paraId="787579AB" w14:textId="77777777" w:rsidR="008D328E" w:rsidRPr="008D328E" w:rsidRDefault="008D328E" w:rsidP="008D328E">
      <w:pPr>
        <w:kinsoku w:val="0"/>
        <w:overflowPunct w:val="0"/>
        <w:ind w:right="-1" w:firstLine="567"/>
        <w:rPr>
          <w:rFonts w:cs="Arial"/>
          <w:b/>
        </w:rPr>
      </w:pPr>
    </w:p>
    <w:p w14:paraId="4DC98FEE" w14:textId="77777777" w:rsidR="008D328E" w:rsidRPr="008D328E" w:rsidRDefault="008D328E" w:rsidP="008D328E">
      <w:pPr>
        <w:tabs>
          <w:tab w:val="left" w:pos="567"/>
        </w:tabs>
        <w:ind w:firstLine="567"/>
        <w:rPr>
          <w:rFonts w:cs="Arial"/>
        </w:rPr>
      </w:pPr>
      <w:r w:rsidRPr="008D328E">
        <w:rPr>
          <w:rFonts w:cs="Arial"/>
        </w:rPr>
        <w:t xml:space="preserve">Utvrđene nepravilnosti i propusti odnosili su se na sustav unutarnjih kontrola, planiranje, računovodstveno poslovanje i financijske izvještaje, prihode i potraživanja, rashode i obveze te javnu nabavu. </w:t>
      </w:r>
    </w:p>
    <w:p w14:paraId="48A36C36" w14:textId="77777777" w:rsidR="008D328E" w:rsidRPr="002C07E5" w:rsidRDefault="008D328E" w:rsidP="008D328E">
      <w:pPr>
        <w:tabs>
          <w:tab w:val="left" w:pos="567"/>
        </w:tabs>
        <w:ind w:firstLine="567"/>
        <w:rPr>
          <w:rFonts w:cs="Arial"/>
        </w:rPr>
      </w:pPr>
    </w:p>
    <w:p w14:paraId="407B29C9" w14:textId="49FD614C" w:rsidR="008D328E" w:rsidRPr="002C07E5" w:rsidRDefault="008D328E" w:rsidP="008D328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r w:rsidRPr="002C07E5">
        <w:rPr>
          <w:rFonts w:cs="Arial"/>
        </w:rPr>
        <w:tab/>
      </w:r>
      <w:r w:rsidR="00F17CA1" w:rsidRPr="002C07E5">
        <w:rPr>
          <w:rFonts w:cs="Arial"/>
        </w:rPr>
        <w:t>U nastavku se navode značajnije nepravilnosti</w:t>
      </w:r>
      <w:r w:rsidRPr="002C07E5">
        <w:rPr>
          <w:rFonts w:cs="Arial"/>
        </w:rPr>
        <w:t>:</w:t>
      </w:r>
    </w:p>
    <w:p w14:paraId="7EEB5A17" w14:textId="5A061981" w:rsidR="008D328E" w:rsidRPr="002C07E5" w:rsidRDefault="00F17CA1" w:rsidP="00F17CA1">
      <w:pPr>
        <w:tabs>
          <w:tab w:val="left" w:pos="0"/>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2C07E5">
        <w:rPr>
          <w:rFonts w:cs="Arial"/>
        </w:rPr>
        <w:t>–</w:t>
      </w:r>
      <w:r w:rsidRPr="002C07E5">
        <w:rPr>
          <w:rFonts w:cs="Arial"/>
        </w:rPr>
        <w:tab/>
      </w:r>
      <w:r w:rsidR="00262717" w:rsidRPr="002C07E5">
        <w:rPr>
          <w:rFonts w:cs="Arial"/>
        </w:rPr>
        <w:t>p</w:t>
      </w:r>
      <w:r w:rsidR="008D328E" w:rsidRPr="002C07E5">
        <w:rPr>
          <w:rFonts w:cs="Arial"/>
        </w:rPr>
        <w:t xml:space="preserve">ojedina trgovačka društva nisu utvrdila rizike te uspostavila registar rizika </w:t>
      </w:r>
    </w:p>
    <w:p w14:paraId="25EC2CF4" w14:textId="1253AE62" w:rsidR="008D328E" w:rsidRPr="002C07E5" w:rsidRDefault="008D328E"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r>
      <w:r w:rsidR="00262717" w:rsidRPr="002C07E5">
        <w:rPr>
          <w:rFonts w:cs="Arial"/>
        </w:rPr>
        <w:t>s</w:t>
      </w:r>
      <w:r w:rsidRPr="002C07E5">
        <w:rPr>
          <w:rFonts w:cs="Arial"/>
        </w:rPr>
        <w:t xml:space="preserve">trateški planovi kojima bi se utvrdili dugoročni ciljevi razvoja </w:t>
      </w:r>
      <w:r w:rsidR="00F17CA1" w:rsidRPr="002C07E5">
        <w:rPr>
          <w:rFonts w:cs="Arial"/>
        </w:rPr>
        <w:t>(</w:t>
      </w:r>
      <w:r w:rsidRPr="002C07E5">
        <w:rPr>
          <w:rFonts w:cs="Arial"/>
        </w:rPr>
        <w:t>na način da su konkretni, mjerljivi i vremenski određeni s utvrđenim pokazateljima rezultata i učinaka</w:t>
      </w:r>
      <w:r w:rsidR="00F17CA1" w:rsidRPr="002C07E5">
        <w:rPr>
          <w:rFonts w:cs="Arial"/>
        </w:rPr>
        <w:t>)</w:t>
      </w:r>
      <w:r w:rsidRPr="002C07E5">
        <w:rPr>
          <w:rFonts w:cs="Arial"/>
        </w:rPr>
        <w:t xml:space="preserve"> te poslovni planovi nisu doneseni </w:t>
      </w:r>
    </w:p>
    <w:p w14:paraId="70854535" w14:textId="64C78DDB" w:rsidR="008D328E" w:rsidRPr="002C07E5" w:rsidRDefault="00262717"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r>
      <w:r w:rsidR="00E60A36" w:rsidRPr="002C07E5">
        <w:rPr>
          <w:rFonts w:eastAsia="Calibri" w:cs="Arial"/>
          <w:lang w:eastAsia="en-US"/>
        </w:rPr>
        <w:t>popis imovine i obveza nije obavljen u skladu s propisima te nije postignuta osnovna svrha popisa (usklađenje knjigovodstvenog stanja i stanja utvrđenog popisom)</w:t>
      </w:r>
    </w:p>
    <w:p w14:paraId="43BD07C7" w14:textId="2A6ADD90" w:rsidR="008D328E" w:rsidRPr="002C07E5" w:rsidRDefault="00262717"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t>v</w:t>
      </w:r>
      <w:r w:rsidR="008D328E" w:rsidRPr="002C07E5">
        <w:rPr>
          <w:rFonts w:cs="Arial"/>
        </w:rPr>
        <w:t>rijednost dugotrajne imovine evidentirana u glavnoj knjizi i iskazana u financijskim izvještajima nije jednaka podacima u pomoćnim knjigama</w:t>
      </w:r>
      <w:r w:rsidR="00F17CA1" w:rsidRPr="002C07E5">
        <w:rPr>
          <w:rFonts w:cs="Arial"/>
        </w:rPr>
        <w:t>;</w:t>
      </w:r>
      <w:r w:rsidR="008D328E" w:rsidRPr="002C07E5">
        <w:rPr>
          <w:rFonts w:cs="Arial"/>
        </w:rPr>
        <w:t xml:space="preserve"> dugotrajna materijalna imovina, čija je izgradnja i nabava završena u prethodnim godinama, evidentirana je kao dugotrajna materijalna imovina u pripremi, a trebalo je evidentirati kao dugotrajnu materijalnu imovinu u uporabi, obračunavati amortizaciju te istodobno priznati prihode za primljena sredstva za financiranje tih ulaganja</w:t>
      </w:r>
    </w:p>
    <w:p w14:paraId="45E02B25" w14:textId="7DE3F0B3" w:rsidR="008D328E" w:rsidRPr="002C07E5" w:rsidRDefault="00262717"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t>p</w:t>
      </w:r>
      <w:r w:rsidR="008D328E" w:rsidRPr="002C07E5">
        <w:rPr>
          <w:rFonts w:cs="Arial"/>
        </w:rPr>
        <w:t>rihodi od naknade za razvoj evidentirani su u poslovnim knjigama i iskazani u financijskim izvještajima u okviru prihoda od prodaje umjesto na računu odgođenog priznavanja prihoda</w:t>
      </w:r>
      <w:r w:rsidR="00F17CA1" w:rsidRPr="002C07E5">
        <w:rPr>
          <w:rFonts w:cs="Arial"/>
        </w:rPr>
        <w:t>;</w:t>
      </w:r>
      <w:r w:rsidR="008D328E" w:rsidRPr="002C07E5">
        <w:rPr>
          <w:rFonts w:cs="Arial"/>
        </w:rPr>
        <w:t xml:space="preserve"> sredstva od naknade za razvoj nisu utrošena za propisane namjene</w:t>
      </w:r>
    </w:p>
    <w:p w14:paraId="43E3F9B7" w14:textId="6884CE2F" w:rsidR="008D328E" w:rsidRPr="002C07E5" w:rsidRDefault="00F17CA1"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t>nisu poduzimane potrebne mjere za pravodobnu naplatu svih potraživanja;</w:t>
      </w:r>
      <w:r w:rsidR="008D328E" w:rsidRPr="002C07E5">
        <w:rPr>
          <w:rFonts w:cs="Arial"/>
        </w:rPr>
        <w:t xml:space="preserve"> nisu donesene procedure </w:t>
      </w:r>
      <w:r w:rsidR="000123F8" w:rsidRPr="002C07E5">
        <w:rPr>
          <w:rFonts w:cs="Arial"/>
        </w:rPr>
        <w:t>naplate potraživanja</w:t>
      </w:r>
      <w:r w:rsidRPr="002C07E5">
        <w:rPr>
          <w:rFonts w:cs="Arial"/>
        </w:rPr>
        <w:t>;</w:t>
      </w:r>
      <w:r w:rsidR="008D328E" w:rsidRPr="002C07E5">
        <w:rPr>
          <w:rFonts w:cs="Arial"/>
        </w:rPr>
        <w:t xml:space="preserve"> za potraživanja starija od 365 dana nij</w:t>
      </w:r>
      <w:r w:rsidR="00384038" w:rsidRPr="002C07E5">
        <w:rPr>
          <w:rFonts w:cs="Arial"/>
        </w:rPr>
        <w:t>e proveden ispravak vrijednosti</w:t>
      </w:r>
    </w:p>
    <w:p w14:paraId="1BEFC211" w14:textId="51203375" w:rsidR="008D328E" w:rsidRPr="002C07E5" w:rsidRDefault="00F17CA1"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2C07E5">
        <w:rPr>
          <w:rFonts w:cs="Arial"/>
        </w:rPr>
        <w:t>–</w:t>
      </w:r>
      <w:r w:rsidRPr="002C07E5">
        <w:rPr>
          <w:rFonts w:cs="Arial"/>
        </w:rPr>
        <w:tab/>
        <w:t>n</w:t>
      </w:r>
      <w:r w:rsidR="008D328E" w:rsidRPr="002C07E5">
        <w:rPr>
          <w:rFonts w:cs="Arial"/>
        </w:rPr>
        <w:t>agrade za rezultate rada i stimulativni dio plaće ispla</w:t>
      </w:r>
      <w:r w:rsidR="000123F8" w:rsidRPr="002C07E5">
        <w:rPr>
          <w:rFonts w:cs="Arial"/>
        </w:rPr>
        <w:t>ćene su pojedinim zaposlenicima</w:t>
      </w:r>
      <w:r w:rsidR="008D328E" w:rsidRPr="002C07E5">
        <w:rPr>
          <w:rFonts w:cs="Arial"/>
        </w:rPr>
        <w:t xml:space="preserve"> </w:t>
      </w:r>
      <w:r w:rsidR="000123F8" w:rsidRPr="002C07E5">
        <w:rPr>
          <w:rFonts w:cs="Arial"/>
        </w:rPr>
        <w:t>bez utvrđenih kriterija</w:t>
      </w:r>
    </w:p>
    <w:p w14:paraId="22F29AFD" w14:textId="6BB60DE0" w:rsidR="00072491" w:rsidRPr="00A93C41" w:rsidRDefault="008D328E" w:rsidP="00E60A3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A93C41">
        <w:rPr>
          <w:rFonts w:cs="Arial"/>
        </w:rPr>
        <w:t>–</w:t>
      </w:r>
      <w:r w:rsidRPr="00A93C41">
        <w:rPr>
          <w:rFonts w:cs="Arial"/>
        </w:rPr>
        <w:tab/>
        <w:t xml:space="preserve">usluge agencijskih radnika korištene su svaki mjesec </w:t>
      </w:r>
      <w:r w:rsidR="00F17CA1" w:rsidRPr="00A93C41">
        <w:rPr>
          <w:rFonts w:cs="Arial"/>
        </w:rPr>
        <w:t>i</w:t>
      </w:r>
      <w:r w:rsidRPr="00A93C41">
        <w:rPr>
          <w:rFonts w:cs="Arial"/>
        </w:rPr>
        <w:t xml:space="preserve"> u većem obujmu nego je predviđeno </w:t>
      </w:r>
      <w:r w:rsidR="00F17CA1" w:rsidRPr="00A93C41">
        <w:rPr>
          <w:rFonts w:cs="Arial"/>
        </w:rPr>
        <w:t>zaključenim ugovorima;</w:t>
      </w:r>
      <w:r w:rsidRPr="00A93C41">
        <w:rPr>
          <w:rFonts w:cs="Arial"/>
        </w:rPr>
        <w:t xml:space="preserve"> nisu određeni kriteriji utvrđivanja potreba za agencijskim radnicima </w:t>
      </w:r>
      <w:r w:rsidR="00F17CA1" w:rsidRPr="00A93C41">
        <w:rPr>
          <w:rFonts w:cs="Arial"/>
        </w:rPr>
        <w:t>niti</w:t>
      </w:r>
      <w:r w:rsidRPr="00A93C41">
        <w:rPr>
          <w:rFonts w:cs="Arial"/>
        </w:rPr>
        <w:t xml:space="preserve"> ocijenjena opravdanost korištenja </w:t>
      </w:r>
      <w:r w:rsidR="00F17CA1" w:rsidRPr="00A93C41">
        <w:rPr>
          <w:rFonts w:cs="Arial"/>
        </w:rPr>
        <w:t>ovih</w:t>
      </w:r>
      <w:r w:rsidRPr="00A93C41">
        <w:rPr>
          <w:rFonts w:cs="Arial"/>
        </w:rPr>
        <w:t xml:space="preserve"> usluga</w:t>
      </w:r>
      <w:r w:rsidR="00F17CA1" w:rsidRPr="00A93C41">
        <w:rPr>
          <w:rFonts w:cs="Arial"/>
        </w:rPr>
        <w:t xml:space="preserve"> (iako su </w:t>
      </w:r>
      <w:r w:rsidR="000123F8" w:rsidRPr="00A93C41">
        <w:rPr>
          <w:rFonts w:cs="Arial"/>
        </w:rPr>
        <w:t xml:space="preserve">ove usluge </w:t>
      </w:r>
      <w:r w:rsidR="00F17CA1" w:rsidRPr="00A93C41">
        <w:rPr>
          <w:rFonts w:cs="Arial"/>
        </w:rPr>
        <w:t>korištene dulje razdoblje)</w:t>
      </w:r>
    </w:p>
    <w:p w14:paraId="119E2674" w14:textId="4365241F" w:rsidR="008D328E" w:rsidRPr="00A93C41" w:rsidRDefault="00F17CA1"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A93C41">
        <w:rPr>
          <w:rFonts w:cs="Arial"/>
        </w:rPr>
        <w:lastRenderedPageBreak/>
        <w:t>–</w:t>
      </w:r>
      <w:r w:rsidRPr="00A93C41">
        <w:rPr>
          <w:rFonts w:cs="Arial"/>
        </w:rPr>
        <w:tab/>
        <w:t>p</w:t>
      </w:r>
      <w:r w:rsidR="008D328E" w:rsidRPr="00A93C41">
        <w:rPr>
          <w:rFonts w:cs="Arial"/>
        </w:rPr>
        <w:t xml:space="preserve">lan nabave roba, radova i usluga </w:t>
      </w:r>
      <w:r w:rsidRPr="00A93C41">
        <w:rPr>
          <w:rFonts w:cs="Arial"/>
        </w:rPr>
        <w:t xml:space="preserve">nije donesen ili </w:t>
      </w:r>
      <w:r w:rsidR="008D328E" w:rsidRPr="00A93C41">
        <w:rPr>
          <w:rFonts w:cs="Arial"/>
        </w:rPr>
        <w:t>ne sadrži</w:t>
      </w:r>
      <w:r w:rsidRPr="00A93C41">
        <w:rPr>
          <w:rFonts w:cs="Arial"/>
        </w:rPr>
        <w:t xml:space="preserve"> sve propisane podatke;</w:t>
      </w:r>
      <w:r w:rsidR="008D328E" w:rsidRPr="00A93C41">
        <w:rPr>
          <w:rFonts w:cs="Arial"/>
        </w:rPr>
        <w:t xml:space="preserve"> bez provedbe postupaka nabave trgovačka društva su nabavila roba, radova i usluga u vrijednosti od 1.307.776,94 eura</w:t>
      </w:r>
      <w:r w:rsidRPr="00A93C41">
        <w:rPr>
          <w:rFonts w:cs="Arial"/>
        </w:rPr>
        <w:t xml:space="preserve">; </w:t>
      </w:r>
      <w:r w:rsidR="008D328E" w:rsidRPr="00A93C41">
        <w:rPr>
          <w:rFonts w:cs="Arial"/>
        </w:rPr>
        <w:t>pragovi vrijednosti nabave roba, radova i usluga, koje se mogu nabaviti izravnim ugovaranjem, a koji su utvrđeni unutarnjim aktima trgovačkih dru</w:t>
      </w:r>
      <w:r w:rsidRPr="00A93C41">
        <w:rPr>
          <w:rFonts w:cs="Arial"/>
        </w:rPr>
        <w:t>štava, previsoko su postavljeni</w:t>
      </w:r>
    </w:p>
    <w:p w14:paraId="7B35F1D9" w14:textId="4CC63B52" w:rsidR="008D328E" w:rsidRPr="00A93C41" w:rsidRDefault="008D328E" w:rsidP="0026271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A93C41">
        <w:rPr>
          <w:rFonts w:cs="Arial"/>
        </w:rPr>
        <w:t>–</w:t>
      </w:r>
      <w:r w:rsidRPr="00A93C41">
        <w:rPr>
          <w:rFonts w:cs="Arial"/>
        </w:rPr>
        <w:tab/>
      </w:r>
      <w:r w:rsidR="00F17CA1" w:rsidRPr="00A93C41">
        <w:rPr>
          <w:rFonts w:cs="Arial"/>
        </w:rPr>
        <w:t>z</w:t>
      </w:r>
      <w:r w:rsidRPr="00A93C41">
        <w:rPr>
          <w:rFonts w:cs="Arial"/>
        </w:rPr>
        <w:t>a dugoročno zaduživanje nije pribavljena suglasnost većinskog vlasnika, odnosno osnivača.</w:t>
      </w:r>
    </w:p>
    <w:p w14:paraId="5F8C1D7F" w14:textId="77777777" w:rsidR="008D328E" w:rsidRPr="00A93C41" w:rsidRDefault="008D328E" w:rsidP="008D32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34" w:hanging="567"/>
        <w:textAlignment w:val="baseline"/>
        <w:rPr>
          <w:rFonts w:cs="Arial"/>
        </w:rPr>
      </w:pPr>
    </w:p>
    <w:p w14:paraId="4DEBA436" w14:textId="3A82AD76" w:rsidR="008D328E" w:rsidRPr="00A93C41" w:rsidRDefault="008D328E" w:rsidP="008D328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r w:rsidRPr="00A93C41">
        <w:rPr>
          <w:rFonts w:cs="Arial"/>
        </w:rPr>
        <w:tab/>
        <w:t xml:space="preserve">Za </w:t>
      </w:r>
      <w:r w:rsidR="00A846E7" w:rsidRPr="00A93C41">
        <w:rPr>
          <w:rFonts w:cs="Arial"/>
        </w:rPr>
        <w:t xml:space="preserve">otklanjanje </w:t>
      </w:r>
      <w:r w:rsidRPr="00A93C41">
        <w:rPr>
          <w:rFonts w:cs="Arial"/>
        </w:rPr>
        <w:t>nepravilnosti i propust</w:t>
      </w:r>
      <w:r w:rsidR="00262717" w:rsidRPr="00A93C41">
        <w:rPr>
          <w:rFonts w:cs="Arial"/>
        </w:rPr>
        <w:t>a</w:t>
      </w:r>
      <w:r w:rsidRPr="00A93C41">
        <w:rPr>
          <w:rFonts w:cs="Arial"/>
        </w:rPr>
        <w:t xml:space="preserve"> </w:t>
      </w:r>
      <w:r w:rsidR="00262717" w:rsidRPr="00A93C41">
        <w:rPr>
          <w:rFonts w:cs="Arial"/>
        </w:rPr>
        <w:t xml:space="preserve">utvrđenih revizijom </w:t>
      </w:r>
      <w:r w:rsidRPr="00A93C41">
        <w:rPr>
          <w:rFonts w:cs="Arial"/>
        </w:rPr>
        <w:t>Ured je</w:t>
      </w:r>
      <w:r w:rsidR="00A846E7" w:rsidRPr="00A93C41">
        <w:rPr>
          <w:rFonts w:cs="Arial"/>
        </w:rPr>
        <w:t xml:space="preserve"> ovim društvima</w:t>
      </w:r>
      <w:r w:rsidRPr="00A93C41">
        <w:rPr>
          <w:rFonts w:cs="Arial"/>
        </w:rPr>
        <w:t xml:space="preserve"> dao </w:t>
      </w:r>
      <w:r w:rsidRPr="00A93C41">
        <w:rPr>
          <w:rFonts w:cs="Arial"/>
          <w:b/>
        </w:rPr>
        <w:t>49 naloga i preporuk</w:t>
      </w:r>
      <w:r w:rsidR="00A846E7" w:rsidRPr="00A93C41">
        <w:rPr>
          <w:rFonts w:cs="Arial"/>
          <w:b/>
        </w:rPr>
        <w:t>a.</w:t>
      </w:r>
      <w:r w:rsidRPr="00A93C41">
        <w:rPr>
          <w:rFonts w:cs="Arial"/>
        </w:rPr>
        <w:t xml:space="preserve"> </w:t>
      </w:r>
    </w:p>
    <w:p w14:paraId="3D29D026" w14:textId="77777777" w:rsidR="00A846E7" w:rsidRPr="00A93C41" w:rsidRDefault="00A846E7" w:rsidP="008D328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p>
    <w:p w14:paraId="64078CCC" w14:textId="0E4586D2" w:rsidR="008D328E" w:rsidRPr="00A93C41" w:rsidRDefault="008D328E" w:rsidP="00956F8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rFonts w:cs="Arial"/>
          <w:b/>
        </w:rPr>
      </w:pPr>
      <w:r w:rsidRPr="00A93C41">
        <w:rPr>
          <w:rFonts w:cs="Arial"/>
        </w:rPr>
        <w:tab/>
        <w:t>Osim toga, utvrđeno je da je</w:t>
      </w:r>
      <w:r w:rsidR="00D5105D" w:rsidRPr="00A93C41">
        <w:rPr>
          <w:rFonts w:cs="Arial"/>
        </w:rPr>
        <w:t>,</w:t>
      </w:r>
      <w:r w:rsidRPr="00A93C41">
        <w:rPr>
          <w:rFonts w:cs="Arial"/>
        </w:rPr>
        <w:t xml:space="preserve"> od 12</w:t>
      </w:r>
      <w:r w:rsidRPr="00A93C41">
        <w:rPr>
          <w:rFonts w:cs="Arial"/>
          <w:b/>
        </w:rPr>
        <w:t xml:space="preserve"> naloga i preporuk</w:t>
      </w:r>
      <w:r w:rsidR="00A6366D" w:rsidRPr="00A93C41">
        <w:rPr>
          <w:rFonts w:cs="Arial"/>
          <w:b/>
        </w:rPr>
        <w:t>a</w:t>
      </w:r>
      <w:r w:rsidRPr="00A93C41">
        <w:rPr>
          <w:rFonts w:cs="Arial"/>
          <w:b/>
        </w:rPr>
        <w:t xml:space="preserve"> danih u prošlim revizijama</w:t>
      </w:r>
      <w:r w:rsidRPr="00A93C41">
        <w:rPr>
          <w:rFonts w:cs="Arial"/>
        </w:rPr>
        <w:t xml:space="preserve">, provedeno </w:t>
      </w:r>
      <w:r w:rsidRPr="00A93C41">
        <w:rPr>
          <w:rFonts w:cs="Arial"/>
          <w:b/>
        </w:rPr>
        <w:t>devet naloga i preporuka</w:t>
      </w:r>
      <w:r w:rsidR="000E790D" w:rsidRPr="00A93C41">
        <w:rPr>
          <w:rFonts w:cs="Arial"/>
          <w:b/>
        </w:rPr>
        <w:t xml:space="preserve"> ili 75,0 %</w:t>
      </w:r>
      <w:r w:rsidRPr="00A93C41">
        <w:rPr>
          <w:rFonts w:cs="Arial"/>
          <w:b/>
        </w:rPr>
        <w:t xml:space="preserve">, dva </w:t>
      </w:r>
      <w:r w:rsidR="000E790D" w:rsidRPr="00A93C41">
        <w:rPr>
          <w:rFonts w:cs="Arial"/>
          <w:b/>
        </w:rPr>
        <w:t xml:space="preserve">ili 16,7 % </w:t>
      </w:r>
      <w:r w:rsidRPr="00A93C41">
        <w:rPr>
          <w:rFonts w:cs="Arial"/>
          <w:b/>
        </w:rPr>
        <w:t>ni</w:t>
      </w:r>
      <w:r w:rsidR="000E790D" w:rsidRPr="00A93C41">
        <w:rPr>
          <w:rFonts w:cs="Arial"/>
          <w:b/>
        </w:rPr>
        <w:t>je provedeno</w:t>
      </w:r>
      <w:r w:rsidRPr="00A93C41">
        <w:rPr>
          <w:rFonts w:cs="Arial"/>
          <w:b/>
        </w:rPr>
        <w:t>, a djelomično je proveden jedan nalog</w:t>
      </w:r>
      <w:r w:rsidR="000E790D" w:rsidRPr="00A93C41">
        <w:rPr>
          <w:rFonts w:cs="Arial"/>
          <w:b/>
        </w:rPr>
        <w:t xml:space="preserve"> ili 8,3 %</w:t>
      </w:r>
      <w:r w:rsidRPr="00A93C41">
        <w:rPr>
          <w:rFonts w:cs="Arial"/>
          <w:b/>
        </w:rPr>
        <w:t>.</w:t>
      </w:r>
    </w:p>
    <w:bookmarkEnd w:id="0"/>
    <w:p w14:paraId="0E328107" w14:textId="77777777" w:rsidR="006A66E5" w:rsidRPr="00A93C41" w:rsidRDefault="006A66E5" w:rsidP="00EE3381">
      <w:pPr>
        <w:pBdr>
          <w:bottom w:val="single" w:sz="4" w:space="1"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428C9D52" w14:textId="77777777" w:rsidR="005C4E43" w:rsidRPr="00A93C41" w:rsidRDefault="005C4E43" w:rsidP="00EE33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rPr>
      </w:pPr>
    </w:p>
    <w:p w14:paraId="277C19F9" w14:textId="77777777" w:rsidR="005C4E43" w:rsidRPr="00A93C41" w:rsidRDefault="005C4E43" w:rsidP="00EE338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p>
    <w:p w14:paraId="5EFD2E5C" w14:textId="775291E6" w:rsidR="00655ED4" w:rsidRPr="00A93C41" w:rsidRDefault="006D35FC" w:rsidP="00EE3381">
      <w:pPr>
        <w:shd w:val="clear" w:color="auto" w:fill="D9D9D9" w:themeFill="background1" w:themeFillShade="D9"/>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sidRPr="00A93C41">
        <w:rPr>
          <w:rFonts w:eastAsia="Calibri" w:cs="Arial"/>
          <w:b/>
        </w:rPr>
        <w:tab/>
      </w:r>
      <w:r w:rsidR="00122A9A" w:rsidRPr="00A93C41">
        <w:rPr>
          <w:rFonts w:eastAsia="Calibri" w:cs="Arial"/>
          <w:b/>
        </w:rPr>
        <w:t>REVIZIJ</w:t>
      </w:r>
      <w:r w:rsidR="006E5C4D" w:rsidRPr="00A93C41">
        <w:rPr>
          <w:rFonts w:eastAsia="Calibri" w:cs="Arial"/>
          <w:b/>
        </w:rPr>
        <w:t>E</w:t>
      </w:r>
      <w:r w:rsidR="00122A9A" w:rsidRPr="00A93C41">
        <w:rPr>
          <w:rFonts w:eastAsia="Calibri" w:cs="Arial"/>
          <w:b/>
        </w:rPr>
        <w:t xml:space="preserve"> UČINKOVITOSTI</w:t>
      </w:r>
    </w:p>
    <w:p w14:paraId="1902906A" w14:textId="77777777" w:rsidR="00790451" w:rsidRPr="00A93C41" w:rsidRDefault="00790451" w:rsidP="00A93A0D"/>
    <w:p w14:paraId="24DD4B1A" w14:textId="0DDD5E18" w:rsidR="001C1EA4" w:rsidRPr="00A93C41" w:rsidRDefault="00790451" w:rsidP="00A93A0D">
      <w:pPr>
        <w:ind w:firstLine="567"/>
      </w:pPr>
      <w:r w:rsidRPr="00A93C41">
        <w:t>Revizijom učinkovitosti provjerava se ostvaruju li se projekt</w:t>
      </w:r>
      <w:r w:rsidR="006D35FC" w:rsidRPr="00A93C41">
        <w:t>i, programi i aktivnosti subjek</w:t>
      </w:r>
      <w:r w:rsidRPr="00A93C41">
        <w:t>ta revizije u skladu s načelima ekonomičnosti, djelotvornosti i svrsishodnosti</w:t>
      </w:r>
      <w:r w:rsidR="006D35FC" w:rsidRPr="00A93C41">
        <w:t>. Daje se ocjena učinkovitosti, koja može biti: učinkovito; učinkovito, pri čemu su potrebna poboljšanja; djelomično učinkovito; neučinkovito.</w:t>
      </w:r>
    </w:p>
    <w:p w14:paraId="0CD1D661" w14:textId="42357D47" w:rsidR="00790451" w:rsidRPr="00A93C41" w:rsidRDefault="00790451" w:rsidP="00A93A0D"/>
    <w:p w14:paraId="1913DCF8" w14:textId="77777777" w:rsidR="00A93A0D" w:rsidRPr="00A93C41" w:rsidRDefault="00A93A0D" w:rsidP="00A93A0D"/>
    <w:p w14:paraId="24DF2E37" w14:textId="4EF3A8E5" w:rsidR="00790451" w:rsidRPr="00A93C41" w:rsidRDefault="00A93A0D" w:rsidP="00A93A0D">
      <w:pPr>
        <w:tabs>
          <w:tab w:val="left" w:pos="567"/>
        </w:tabs>
      </w:pPr>
      <w:r w:rsidRPr="00A93C41">
        <w:rPr>
          <w:rFonts w:eastAsia="Calibri"/>
          <w:szCs w:val="22"/>
          <w:lang w:eastAsia="en-US"/>
        </w:rPr>
        <w:t>–</w:t>
      </w:r>
      <w:r w:rsidRPr="00A93C41">
        <w:rPr>
          <w:rFonts w:eastAsia="Calibri"/>
          <w:szCs w:val="22"/>
          <w:lang w:eastAsia="en-US"/>
        </w:rPr>
        <w:tab/>
      </w:r>
      <w:r w:rsidRPr="00A93C41">
        <w:rPr>
          <w:rFonts w:eastAsia="Calibri"/>
          <w:b/>
          <w:szCs w:val="22"/>
          <w:lang w:eastAsia="en-US"/>
        </w:rPr>
        <w:t>PRILAGODBA KLIMATSKIM PROMJENAMA U REPUBLICI HRVATSKOJ</w:t>
      </w:r>
    </w:p>
    <w:p w14:paraId="55DD70CA" w14:textId="77777777" w:rsidR="00A93A0D" w:rsidRPr="00A93C41" w:rsidRDefault="00A93A0D" w:rsidP="00A93A0D">
      <w:pPr>
        <w:widowControl/>
        <w:autoSpaceDE/>
        <w:autoSpaceDN/>
        <w:adjustRightInd/>
        <w:rPr>
          <w:rFonts w:eastAsia="Calibri"/>
          <w:szCs w:val="22"/>
          <w:lang w:eastAsia="en-US"/>
        </w:rPr>
      </w:pPr>
    </w:p>
    <w:p w14:paraId="455A0C0D" w14:textId="032A76F8" w:rsidR="00A93A0D" w:rsidRPr="00A93C41" w:rsidRDefault="00A93A0D" w:rsidP="00A93A0D">
      <w:pPr>
        <w:widowControl/>
        <w:autoSpaceDE/>
        <w:autoSpaceDN/>
        <w:adjustRightInd/>
        <w:ind w:firstLine="567"/>
        <w:rPr>
          <w:rFonts w:eastAsia="Calibri"/>
          <w:szCs w:val="22"/>
          <w:lang w:eastAsia="en-US"/>
        </w:rPr>
      </w:pPr>
      <w:r w:rsidRPr="00A93C41">
        <w:rPr>
          <w:rFonts w:eastAsia="Calibri"/>
          <w:szCs w:val="22"/>
          <w:lang w:eastAsia="en-US"/>
        </w:rPr>
        <w:t xml:space="preserve">Ovom revizijom učinkovitosti </w:t>
      </w:r>
      <w:r w:rsidR="00384038" w:rsidRPr="00A93C41">
        <w:rPr>
          <w:rFonts w:eastAsia="Calibri"/>
          <w:szCs w:val="22"/>
          <w:lang w:eastAsia="en-US"/>
        </w:rPr>
        <w:t xml:space="preserve">obuhvaćene su </w:t>
      </w:r>
      <w:r w:rsidRPr="00A93C41">
        <w:rPr>
          <w:rFonts w:eastAsia="Calibri"/>
          <w:szCs w:val="22"/>
          <w:lang w:eastAsia="en-US"/>
        </w:rPr>
        <w:t>aktivnosti koje se Republika Hrvatska, kao stranka međunarodnih sporazuma u vezi s klimatskim promjenama te kao članica Europske u</w:t>
      </w:r>
      <w:r w:rsidR="00E64FDB" w:rsidRPr="00A93C41">
        <w:rPr>
          <w:rFonts w:eastAsia="Calibri"/>
          <w:szCs w:val="22"/>
          <w:lang w:eastAsia="en-US"/>
        </w:rPr>
        <w:t xml:space="preserve">nije, obvezala poduzeti vezano </w:t>
      </w:r>
      <w:r w:rsidRPr="00A93C41">
        <w:rPr>
          <w:rFonts w:eastAsia="Calibri"/>
          <w:szCs w:val="22"/>
          <w:lang w:eastAsia="en-US"/>
        </w:rPr>
        <w:t>z</w:t>
      </w:r>
      <w:r w:rsidR="00E64FDB" w:rsidRPr="00A93C41">
        <w:rPr>
          <w:rFonts w:eastAsia="Calibri"/>
          <w:szCs w:val="22"/>
          <w:lang w:eastAsia="en-US"/>
        </w:rPr>
        <w:t>a</w:t>
      </w:r>
      <w:r w:rsidRPr="00A93C41">
        <w:rPr>
          <w:rFonts w:eastAsia="Calibri"/>
          <w:szCs w:val="22"/>
          <w:lang w:eastAsia="en-US"/>
        </w:rPr>
        <w:t xml:space="preserve"> prilagodbu klimatskim promjenama.</w:t>
      </w:r>
    </w:p>
    <w:p w14:paraId="2A8D396C" w14:textId="77777777" w:rsidR="00A93A0D" w:rsidRPr="00A93C41" w:rsidRDefault="00A93A0D" w:rsidP="00A93A0D">
      <w:pPr>
        <w:widowControl/>
        <w:autoSpaceDE/>
        <w:autoSpaceDN/>
        <w:adjustRightInd/>
        <w:rPr>
          <w:rFonts w:eastAsia="Calibri"/>
          <w:szCs w:val="22"/>
          <w:lang w:eastAsia="en-US"/>
        </w:rPr>
      </w:pPr>
    </w:p>
    <w:p w14:paraId="06E0B0E4" w14:textId="77777777" w:rsidR="00A93A0D" w:rsidRPr="00A93C41" w:rsidRDefault="00A93A0D" w:rsidP="00A93A0D">
      <w:pPr>
        <w:widowControl/>
        <w:autoSpaceDE/>
        <w:autoSpaceDN/>
        <w:adjustRightInd/>
        <w:ind w:firstLine="567"/>
        <w:rPr>
          <w:rFonts w:eastAsia="Calibri"/>
          <w:szCs w:val="22"/>
          <w:lang w:eastAsia="en-US"/>
        </w:rPr>
      </w:pPr>
      <w:r w:rsidRPr="00A93C41">
        <w:rPr>
          <w:rFonts w:eastAsia="Calibri"/>
          <w:szCs w:val="22"/>
          <w:lang w:eastAsia="en-US"/>
        </w:rPr>
        <w:t>Republika Hrvatska je, kao mediteranska država, posebno pod utjecajem klimatskih promjena te zbog svoje ranjivosti bilježi sve veće ekonomske štete od ekstremnih vremenskih događaja i klimatskih promjena. Kako bi se navedeni utjecaji smanjili na najmanju moguću mjeru, potrebno je poboljšati kapacitete za prilagodbu, jačati otpornost i smanjiti osjetljivost na klimatske promjene, a to se ostvaruje postupkom planiranja prilagodbe čiji je konačni cilj učiniti ljude, mjesta, ekosustave i gospodarstva otpornijima na utjecaje klimatskih promjena.</w:t>
      </w:r>
    </w:p>
    <w:p w14:paraId="74EEC755" w14:textId="77777777" w:rsidR="00A93A0D" w:rsidRPr="00A93C41" w:rsidRDefault="00A93A0D" w:rsidP="00A93A0D">
      <w:pPr>
        <w:widowControl/>
        <w:autoSpaceDE/>
        <w:autoSpaceDN/>
        <w:adjustRightInd/>
        <w:rPr>
          <w:rFonts w:eastAsia="Calibri"/>
          <w:szCs w:val="22"/>
          <w:lang w:eastAsia="en-US"/>
        </w:rPr>
      </w:pPr>
    </w:p>
    <w:p w14:paraId="0762040A" w14:textId="77777777" w:rsidR="00A93A0D" w:rsidRPr="00A93C41" w:rsidRDefault="00A93A0D" w:rsidP="00A93A0D">
      <w:pPr>
        <w:widowControl/>
        <w:autoSpaceDE/>
        <w:autoSpaceDN/>
        <w:adjustRightInd/>
        <w:ind w:firstLine="567"/>
        <w:rPr>
          <w:rFonts w:eastAsia="Calibri"/>
          <w:szCs w:val="22"/>
          <w:lang w:eastAsia="en-US"/>
        </w:rPr>
      </w:pPr>
      <w:r w:rsidRPr="00A93C41">
        <w:rPr>
          <w:rFonts w:eastAsia="Calibri"/>
          <w:szCs w:val="22"/>
          <w:lang w:eastAsia="en-US"/>
        </w:rPr>
        <w:t xml:space="preserve">Subjekt revizije bilo je </w:t>
      </w:r>
      <w:r w:rsidRPr="00A93C41">
        <w:rPr>
          <w:rFonts w:eastAsia="Calibri"/>
          <w:b/>
          <w:szCs w:val="22"/>
          <w:lang w:eastAsia="en-US"/>
        </w:rPr>
        <w:t xml:space="preserve">Ministarstvo zaštite okoliša i zelene tranzicije, </w:t>
      </w:r>
      <w:r w:rsidRPr="00A93C41">
        <w:rPr>
          <w:rFonts w:eastAsia="Calibri"/>
          <w:szCs w:val="22"/>
          <w:lang w:eastAsia="en-US"/>
        </w:rPr>
        <w:t xml:space="preserve">koje je, između ostalog, nadležno za politiku klimatskih promjena, u koje spadaju i aktivnosti prilagodbe klimatskim promjenama. </w:t>
      </w:r>
    </w:p>
    <w:p w14:paraId="2CD25466" w14:textId="77777777" w:rsidR="00384038" w:rsidRPr="00A93C41" w:rsidRDefault="00384038" w:rsidP="00A93A0D">
      <w:pPr>
        <w:widowControl/>
        <w:autoSpaceDE/>
        <w:autoSpaceDN/>
        <w:adjustRightInd/>
        <w:rPr>
          <w:rFonts w:eastAsia="Calibri"/>
          <w:szCs w:val="22"/>
          <w:lang w:eastAsia="en-US"/>
        </w:rPr>
      </w:pPr>
    </w:p>
    <w:p w14:paraId="2F97F023" w14:textId="77777777" w:rsidR="00A93A0D" w:rsidRPr="00A93C41" w:rsidRDefault="00A93A0D" w:rsidP="00A93A0D">
      <w:pPr>
        <w:widowControl/>
        <w:autoSpaceDE/>
        <w:autoSpaceDN/>
        <w:adjustRightInd/>
        <w:ind w:firstLine="567"/>
        <w:rPr>
          <w:rFonts w:eastAsia="Calibri"/>
          <w:szCs w:val="22"/>
          <w:lang w:eastAsia="en-US"/>
        </w:rPr>
      </w:pPr>
      <w:r w:rsidRPr="00A93C41">
        <w:rPr>
          <w:rFonts w:eastAsia="Calibri"/>
          <w:szCs w:val="22"/>
          <w:lang w:eastAsia="en-US"/>
        </w:rPr>
        <w:t>Revizijom je obuhvaćen zakonodavni i institucionalni okvir u vezi s planiranjem i provedbom aktivnosti prilagodbe klimatskim promjenama, planiranje prilagodbe klimatskim promjenama te provedba aktivnosti prilagodbe, uspostavljanje sustava praćenja i evaluacije napretka u provedbi aktivnosti prilagodbe te izvješćivanje o provedenim aktivnostima prilagodbe.</w:t>
      </w:r>
    </w:p>
    <w:p w14:paraId="72E44AF3" w14:textId="480D3187" w:rsidR="00A93A0D" w:rsidRPr="00A93C41" w:rsidRDefault="00A93A0D" w:rsidP="00A93A0D">
      <w:pPr>
        <w:widowControl/>
        <w:autoSpaceDE/>
        <w:autoSpaceDN/>
        <w:adjustRightInd/>
        <w:rPr>
          <w:rFonts w:eastAsia="Calibri"/>
          <w:szCs w:val="22"/>
          <w:lang w:eastAsia="en-US"/>
        </w:rPr>
      </w:pPr>
    </w:p>
    <w:p w14:paraId="3D31D080" w14:textId="3B188AC7" w:rsidR="00072491" w:rsidRPr="00A93C41" w:rsidRDefault="00072491" w:rsidP="00A93A0D">
      <w:pPr>
        <w:widowControl/>
        <w:autoSpaceDE/>
        <w:autoSpaceDN/>
        <w:adjustRightInd/>
        <w:rPr>
          <w:rFonts w:eastAsia="Calibri"/>
          <w:szCs w:val="22"/>
          <w:lang w:eastAsia="en-US"/>
        </w:rPr>
      </w:pPr>
    </w:p>
    <w:p w14:paraId="3790CAB0" w14:textId="77777777" w:rsidR="00072491" w:rsidRPr="00A93C41" w:rsidRDefault="00072491" w:rsidP="00A93A0D">
      <w:pPr>
        <w:widowControl/>
        <w:autoSpaceDE/>
        <w:autoSpaceDN/>
        <w:adjustRightInd/>
        <w:rPr>
          <w:rFonts w:eastAsia="Calibri"/>
          <w:szCs w:val="22"/>
          <w:lang w:eastAsia="en-US"/>
        </w:rPr>
      </w:pPr>
    </w:p>
    <w:p w14:paraId="3B1C3D1F" w14:textId="77777777" w:rsidR="00A93A0D" w:rsidRPr="00A93C41" w:rsidRDefault="00A93A0D" w:rsidP="00A93A0D">
      <w:pPr>
        <w:widowControl/>
        <w:autoSpaceDE/>
        <w:autoSpaceDN/>
        <w:adjustRightInd/>
        <w:ind w:firstLine="567"/>
        <w:rPr>
          <w:rFonts w:eastAsia="Calibri"/>
          <w:szCs w:val="22"/>
          <w:lang w:eastAsia="en-US"/>
        </w:rPr>
      </w:pPr>
      <w:r w:rsidRPr="00A93C41">
        <w:rPr>
          <w:rFonts w:eastAsia="Calibri"/>
          <w:szCs w:val="22"/>
          <w:lang w:eastAsia="en-US"/>
        </w:rPr>
        <w:lastRenderedPageBreak/>
        <w:t>Donesena je Strategija prilagodbe klimatskim promjenama za razdoblje do 2040. godine s pogledom na 2070. godinu u kojoj su predložene ukupno 83 mjere prilagodbe za osam ranjivih sektora i dvije međusektorske teme. Procijenjeni iznos potrebnih ulaganja u provedbu Strategije do 2040. iznosi oko 3,6 milijardi eura.</w:t>
      </w:r>
    </w:p>
    <w:p w14:paraId="4BEB5C9A" w14:textId="77777777" w:rsidR="00A93A0D" w:rsidRPr="00A93C41" w:rsidRDefault="00A93A0D" w:rsidP="00A93A0D">
      <w:pPr>
        <w:widowControl/>
        <w:autoSpaceDE/>
        <w:autoSpaceDN/>
        <w:adjustRightInd/>
        <w:rPr>
          <w:rFonts w:eastAsia="Calibri"/>
          <w:szCs w:val="22"/>
          <w:lang w:eastAsia="en-US"/>
        </w:rPr>
      </w:pPr>
    </w:p>
    <w:p w14:paraId="1F4C6C38" w14:textId="77777777" w:rsidR="00A93A0D" w:rsidRPr="00A93C41" w:rsidRDefault="00A93A0D" w:rsidP="00E64FDB">
      <w:pPr>
        <w:widowControl/>
        <w:autoSpaceDE/>
        <w:autoSpaceDN/>
        <w:adjustRightInd/>
        <w:ind w:firstLine="567"/>
        <w:rPr>
          <w:rFonts w:eastAsia="Calibri"/>
          <w:szCs w:val="22"/>
          <w:lang w:eastAsia="en-US"/>
        </w:rPr>
      </w:pPr>
      <w:r w:rsidRPr="00A93C41">
        <w:rPr>
          <w:rFonts w:eastAsia="Calibri"/>
          <w:szCs w:val="22"/>
          <w:lang w:eastAsia="en-US"/>
        </w:rPr>
        <w:t>Revizijom je, između ostalog, utvrđeno sljedeće:</w:t>
      </w:r>
    </w:p>
    <w:p w14:paraId="28B131CC" w14:textId="7426CAFB" w:rsidR="00A93A0D" w:rsidRPr="00A93C41" w:rsidRDefault="00A93A0D" w:rsidP="00E64FDB">
      <w:pPr>
        <w:pStyle w:val="Odlomakpopisa"/>
        <w:numPr>
          <w:ilvl w:val="0"/>
          <w:numId w:val="1"/>
        </w:numPr>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nije osnovano Povjerenstvo za međusektorsku koordinaciju za politiku i mjere za ublažavanje i p</w:t>
      </w:r>
      <w:r w:rsidR="001977DD" w:rsidRPr="00A93C41">
        <w:rPr>
          <w:rFonts w:ascii="Arial" w:eastAsia="Calibri" w:hAnsi="Arial" w:cs="Arial"/>
          <w:sz w:val="24"/>
          <w:szCs w:val="24"/>
        </w:rPr>
        <w:t>rilagodbu klimatskim promjenama</w:t>
      </w:r>
    </w:p>
    <w:p w14:paraId="527DC8F6" w14:textId="7B9B16F9" w:rsidR="00A93A0D" w:rsidRPr="00A93C41" w:rsidRDefault="00A93A0D" w:rsidP="00E64FDB">
      <w:pPr>
        <w:pStyle w:val="Odlomakpopisa"/>
        <w:numPr>
          <w:ilvl w:val="0"/>
          <w:numId w:val="1"/>
        </w:numPr>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akcijski plan prilagodbe u kojem je utvrđen način provedbe mjera, nadležna tijela, rokovi provedbe, jasni i mjerljivi pokazatelji provedbe, financijska sredstva i izvori financiranja nije donesen, a prema Zakonu o klimatskim promjenama i zaštiti ozonskog sloja, trebao je biti donesen do konca lipnja 2021.</w:t>
      </w:r>
    </w:p>
    <w:p w14:paraId="3178BCFB" w14:textId="66D4633B" w:rsidR="00A93A0D" w:rsidRPr="00A93C41" w:rsidRDefault="00A93A0D" w:rsidP="00E64FDB">
      <w:pPr>
        <w:pStyle w:val="Odlomakpopisa"/>
        <w:numPr>
          <w:ilvl w:val="0"/>
          <w:numId w:val="1"/>
        </w:numPr>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nije uspostavljeno sustavno i kontinuirano prikupljanje podataka o provedenim aktivnostima prilagodbe klimatskim promjenama.</w:t>
      </w:r>
    </w:p>
    <w:p w14:paraId="7FF6A619" w14:textId="4D75DA7C" w:rsidR="00A93A0D" w:rsidRPr="00A93C41" w:rsidRDefault="00A93A0D" w:rsidP="005C74BD">
      <w:pPr>
        <w:widowControl/>
        <w:autoSpaceDE/>
        <w:autoSpaceDN/>
        <w:adjustRightInd/>
        <w:ind w:firstLine="567"/>
        <w:rPr>
          <w:rFonts w:eastAsia="Calibri"/>
          <w:szCs w:val="22"/>
          <w:lang w:eastAsia="en-US"/>
        </w:rPr>
      </w:pPr>
      <w:r w:rsidRPr="00A93C41">
        <w:rPr>
          <w:rFonts w:eastAsia="Calibri" w:cs="Arial"/>
          <w:lang w:eastAsia="en-US"/>
        </w:rPr>
        <w:t xml:space="preserve">Ured je </w:t>
      </w:r>
      <w:r w:rsidR="00E64FDB" w:rsidRPr="00A93C41">
        <w:rPr>
          <w:rFonts w:eastAsia="Calibri" w:cs="Arial"/>
          <w:lang w:eastAsia="en-US"/>
        </w:rPr>
        <w:t xml:space="preserve">aktivnosti Ministarstva vezane </w:t>
      </w:r>
      <w:r w:rsidRPr="00A93C41">
        <w:rPr>
          <w:rFonts w:eastAsia="Calibri" w:cs="Arial"/>
          <w:lang w:eastAsia="en-US"/>
        </w:rPr>
        <w:t>z</w:t>
      </w:r>
      <w:r w:rsidR="00E64FDB" w:rsidRPr="00A93C41">
        <w:rPr>
          <w:rFonts w:eastAsia="Calibri" w:cs="Arial"/>
          <w:lang w:eastAsia="en-US"/>
        </w:rPr>
        <w:t>a</w:t>
      </w:r>
      <w:r w:rsidRPr="00A93C41">
        <w:rPr>
          <w:rFonts w:eastAsia="Calibri" w:cs="Arial"/>
          <w:lang w:eastAsia="en-US"/>
        </w:rPr>
        <w:t xml:space="preserve"> prilagodbu klimatskim promjenama ocijenio kao</w:t>
      </w:r>
      <w:r w:rsidRPr="00A93C41">
        <w:rPr>
          <w:rFonts w:eastAsia="Calibri" w:cs="Arial"/>
          <w:szCs w:val="22"/>
          <w:lang w:eastAsia="en-US"/>
        </w:rPr>
        <w:t xml:space="preserve"> </w:t>
      </w:r>
      <w:r w:rsidRPr="00A93C41">
        <w:rPr>
          <w:rFonts w:eastAsia="Calibri" w:cs="Arial"/>
          <w:b/>
          <w:szCs w:val="22"/>
          <w:lang w:eastAsia="en-US"/>
        </w:rPr>
        <w:t>djelomično učinkovite</w:t>
      </w:r>
      <w:r w:rsidRPr="00A93C41">
        <w:rPr>
          <w:rFonts w:eastAsia="Calibri" w:cs="Arial"/>
          <w:szCs w:val="22"/>
          <w:lang w:eastAsia="en-US"/>
        </w:rPr>
        <w:t xml:space="preserve">, </w:t>
      </w:r>
      <w:r w:rsidRPr="00A93C41">
        <w:rPr>
          <w:rFonts w:eastAsia="Calibri" w:cs="Arial"/>
          <w:lang w:eastAsia="en-US"/>
        </w:rPr>
        <w:t>a za utvrđene nepravilnosti i propuste dano je</w:t>
      </w:r>
      <w:r w:rsidRPr="00A93C41">
        <w:rPr>
          <w:rFonts w:eastAsia="Calibri" w:cs="Arial"/>
          <w:szCs w:val="22"/>
          <w:lang w:eastAsia="en-US"/>
        </w:rPr>
        <w:t xml:space="preserve"> </w:t>
      </w:r>
      <w:r w:rsidRPr="00A93C41">
        <w:rPr>
          <w:rFonts w:eastAsia="Calibri"/>
          <w:b/>
          <w:szCs w:val="22"/>
          <w:lang w:eastAsia="en-US"/>
        </w:rPr>
        <w:t>13 preporuka</w:t>
      </w:r>
      <w:r w:rsidRPr="00A93C41">
        <w:rPr>
          <w:rFonts w:eastAsia="Calibri"/>
          <w:szCs w:val="22"/>
          <w:lang w:eastAsia="en-US"/>
        </w:rPr>
        <w:t>.</w:t>
      </w:r>
    </w:p>
    <w:p w14:paraId="2495D7BE" w14:textId="20E9C622" w:rsidR="00A93A0D" w:rsidRPr="00A93C41" w:rsidRDefault="00A93A0D" w:rsidP="005C74BD"/>
    <w:p w14:paraId="4D35739C" w14:textId="77777777" w:rsidR="005C74BD" w:rsidRPr="00A93C41" w:rsidRDefault="005C74BD" w:rsidP="005C74BD"/>
    <w:p w14:paraId="7D1EAB66" w14:textId="47AD984E" w:rsidR="005C74BD" w:rsidRPr="00A93C41" w:rsidRDefault="005C74BD" w:rsidP="007F5618">
      <w:pPr>
        <w:pStyle w:val="Naslov"/>
        <w:numPr>
          <w:ilvl w:val="0"/>
          <w:numId w:val="1"/>
        </w:numPr>
        <w:ind w:left="567" w:hanging="567"/>
        <w:rPr>
          <w:b/>
        </w:rPr>
      </w:pPr>
      <w:r w:rsidRPr="00A93C41">
        <w:rPr>
          <w:b/>
        </w:rPr>
        <w:t>KORIŠTENJE SREDSTAVA RASPOLOŽIVIH IZ MEHANIZMA ZA OPORAVAK I OTPORNOST U REPUBLICI HRVATSKOJ</w:t>
      </w:r>
    </w:p>
    <w:p w14:paraId="1D60450F" w14:textId="114616BC" w:rsidR="005C74BD" w:rsidRPr="00A93C41" w:rsidRDefault="005C74BD" w:rsidP="005C74BD">
      <w:pPr>
        <w:rPr>
          <w:rFonts w:cs="Arial"/>
        </w:rPr>
      </w:pPr>
    </w:p>
    <w:p w14:paraId="0B978877" w14:textId="77777777" w:rsidR="008D2482" w:rsidRPr="00A93C41" w:rsidRDefault="008D2482" w:rsidP="008D2482">
      <w:pPr>
        <w:widowControl/>
        <w:shd w:val="clear" w:color="auto" w:fill="FFFFFF"/>
        <w:autoSpaceDE/>
        <w:autoSpaceDN/>
        <w:adjustRightInd/>
        <w:ind w:firstLine="567"/>
        <w:rPr>
          <w:rFonts w:eastAsia="Calibri" w:cs="Arial"/>
          <w:lang w:eastAsia="en-US"/>
        </w:rPr>
      </w:pPr>
      <w:r w:rsidRPr="00A93C41">
        <w:rPr>
          <w:rFonts w:eastAsia="Calibri" w:cs="Arial"/>
          <w:b/>
          <w:bCs/>
          <w:lang w:eastAsia="en-US"/>
        </w:rPr>
        <w:t>Predmet ove revizije</w:t>
      </w:r>
      <w:r w:rsidRPr="00A93C41">
        <w:rPr>
          <w:rFonts w:eastAsia="Calibri" w:cs="Arial"/>
          <w:bCs/>
          <w:lang w:eastAsia="en-US"/>
        </w:rPr>
        <w:t xml:space="preserve"> bile su aktivnosti u vezi s korištenjem sredstava raspoloživih iz Mehanizma za oporavak i otpornost u Republici Hrvatskoj za ostvarenje ciljeva Nacionalnog plana oporavka i otpornosti (dalje u tekstu: NPOO). Revizijom je obuhvaćeno ostvarenje ključnih etapa i ciljnih vrijednosti do konca listopada 2024. koji su definirani u NPOO-u, korištenje sredstava isplaćenih na temelju odobrenih zahtjeva za plaćanje te provedba ulaganja odabranih za revizijski uzorak.</w:t>
      </w:r>
      <w:r w:rsidRPr="00A93C41">
        <w:rPr>
          <w:rFonts w:eastAsia="Calibri" w:cs="Arial"/>
          <w:lang w:eastAsia="en-US"/>
        </w:rPr>
        <w:t xml:space="preserve"> Također, revizijom je obavljena detaljna provjera aktivnosti koje su do izrade izvješća provedene za </w:t>
      </w:r>
      <w:r w:rsidRPr="00A93C41">
        <w:rPr>
          <w:rFonts w:eastAsia="Calibri" w:cs="Arial"/>
          <w:b/>
          <w:lang w:eastAsia="en-US"/>
        </w:rPr>
        <w:t>tri projekta od iznimne važnosti za Republiku Hrvatsku, ujedno i vrijednosno najznačajnija unutar ove tri komponente:</w:t>
      </w:r>
      <w:r w:rsidRPr="00A93C41">
        <w:rPr>
          <w:rFonts w:eastAsia="Calibri" w:cs="Arial"/>
          <w:lang w:eastAsia="en-US"/>
        </w:rPr>
        <w:t xml:space="preserve"> </w:t>
      </w:r>
    </w:p>
    <w:p w14:paraId="4F5B06BC" w14:textId="77777777" w:rsidR="008D2482" w:rsidRPr="00A93C41" w:rsidRDefault="008D2482" w:rsidP="008D2482">
      <w:pPr>
        <w:widowControl/>
        <w:shd w:val="clear" w:color="auto" w:fill="FFFFFF"/>
        <w:autoSpaceDE/>
        <w:autoSpaceDN/>
        <w:adjustRightInd/>
        <w:ind w:firstLine="567"/>
        <w:rPr>
          <w:rFonts w:eastAsia="Calibri" w:cs="Arial"/>
          <w:lang w:eastAsia="en-US"/>
        </w:rPr>
      </w:pPr>
    </w:p>
    <w:p w14:paraId="721E3B67" w14:textId="77777777" w:rsidR="008D2482" w:rsidRPr="00A93C41" w:rsidRDefault="008D2482" w:rsidP="008D2482">
      <w:pPr>
        <w:widowControl/>
        <w:numPr>
          <w:ilvl w:val="0"/>
          <w:numId w:val="6"/>
        </w:numPr>
        <w:shd w:val="clear" w:color="auto" w:fill="FFFFFF"/>
        <w:autoSpaceDE/>
        <w:autoSpaceDN/>
        <w:adjustRightInd/>
        <w:ind w:left="567" w:hanging="567"/>
        <w:rPr>
          <w:rFonts w:eastAsia="Calibri" w:cs="Arial"/>
          <w:lang w:eastAsia="en-US"/>
        </w:rPr>
      </w:pPr>
      <w:r w:rsidRPr="00A93C41">
        <w:rPr>
          <w:rFonts w:eastAsia="Calibri" w:cs="Arial"/>
          <w:b/>
          <w:lang w:eastAsia="en-US"/>
        </w:rPr>
        <w:t>Povećanje kapaciteta LNG terminala na otoku Krku te jačanje plinske infrastrukture</w:t>
      </w:r>
      <w:r w:rsidRPr="00A93C41">
        <w:rPr>
          <w:rFonts w:eastAsia="Calibri" w:cs="Arial"/>
          <w:lang w:eastAsia="en-US"/>
        </w:rPr>
        <w:t xml:space="preserve"> (komponenta Gospodarstvo; procijenjena sredstva u </w:t>
      </w:r>
      <w:r w:rsidRPr="00A93C41">
        <w:rPr>
          <w:rFonts w:eastAsia="Calibri" w:cs="Arial"/>
          <w:bCs/>
          <w:lang w:eastAsia="en-US"/>
        </w:rPr>
        <w:t>NPOO-u</w:t>
      </w:r>
      <w:r w:rsidRPr="00A93C41">
        <w:rPr>
          <w:rFonts w:eastAsia="Calibri" w:cs="Arial"/>
          <w:lang w:eastAsia="en-US"/>
        </w:rPr>
        <w:t xml:space="preserve"> iznose 559.000.000,00 eura; financiranje iz zajma) </w:t>
      </w:r>
    </w:p>
    <w:p w14:paraId="0CD9C7D8" w14:textId="77777777" w:rsidR="008D2482" w:rsidRPr="00A93C41" w:rsidRDefault="008D2482" w:rsidP="008D2482">
      <w:pPr>
        <w:widowControl/>
        <w:numPr>
          <w:ilvl w:val="0"/>
          <w:numId w:val="6"/>
        </w:numPr>
        <w:shd w:val="clear" w:color="auto" w:fill="FFFFFF"/>
        <w:autoSpaceDE/>
        <w:autoSpaceDN/>
        <w:adjustRightInd/>
        <w:ind w:left="567" w:hanging="567"/>
        <w:rPr>
          <w:rFonts w:eastAsia="Calibri" w:cs="Arial"/>
          <w:lang w:eastAsia="en-US"/>
        </w:rPr>
      </w:pPr>
      <w:r w:rsidRPr="00A93C41">
        <w:rPr>
          <w:rFonts w:eastAsia="Calibri" w:cs="Arial"/>
          <w:b/>
          <w:lang w:eastAsia="en-US"/>
        </w:rPr>
        <w:t xml:space="preserve">Izgradnja, dogradnja, rekonstrukcija i opremanje osnovnih škola za potrebe </w:t>
      </w:r>
      <w:proofErr w:type="spellStart"/>
      <w:r w:rsidRPr="00A93C41">
        <w:rPr>
          <w:rFonts w:eastAsia="Calibri" w:cs="Arial"/>
          <w:b/>
          <w:lang w:eastAsia="en-US"/>
        </w:rPr>
        <w:t>jednosmjenskog</w:t>
      </w:r>
      <w:proofErr w:type="spellEnd"/>
      <w:r w:rsidRPr="00A93C41">
        <w:rPr>
          <w:rFonts w:eastAsia="Calibri" w:cs="Arial"/>
          <w:b/>
          <w:lang w:eastAsia="en-US"/>
        </w:rPr>
        <w:t xml:space="preserve"> rada i cjelodnevne nastave</w:t>
      </w:r>
      <w:r w:rsidRPr="00A93C41">
        <w:rPr>
          <w:rFonts w:eastAsia="Calibri" w:cs="Arial"/>
          <w:lang w:eastAsia="en-US"/>
        </w:rPr>
        <w:t xml:space="preserve"> (komponenta Obrazovanje, znanost i istraživanje; procijenjena sredstva 1.302.608.000,00 eura; financiranje kombinacijom bespovratnih sredstava i zajma)</w:t>
      </w:r>
    </w:p>
    <w:p w14:paraId="19D472D4" w14:textId="77777777" w:rsidR="008D2482" w:rsidRPr="00A93C41" w:rsidRDefault="008D2482" w:rsidP="008D2482">
      <w:pPr>
        <w:widowControl/>
        <w:numPr>
          <w:ilvl w:val="0"/>
          <w:numId w:val="6"/>
        </w:numPr>
        <w:shd w:val="clear" w:color="auto" w:fill="FFFFFF"/>
        <w:autoSpaceDE/>
        <w:autoSpaceDN/>
        <w:adjustRightInd/>
        <w:spacing w:after="200"/>
        <w:ind w:left="567" w:hanging="567"/>
        <w:contextualSpacing/>
        <w:rPr>
          <w:rFonts w:eastAsia="Calibri" w:cs="Arial"/>
          <w:lang w:eastAsia="en-US"/>
        </w:rPr>
      </w:pPr>
      <w:r w:rsidRPr="00A93C41">
        <w:rPr>
          <w:rFonts w:eastAsia="Calibri" w:cs="Arial"/>
          <w:b/>
          <w:lang w:eastAsia="en-US"/>
        </w:rPr>
        <w:t xml:space="preserve">Nabava opreme za prevenciju, dijagnostiku i liječenje osoba oboljelih od raka </w:t>
      </w:r>
      <w:r w:rsidRPr="00A93C41">
        <w:rPr>
          <w:rFonts w:eastAsia="Calibri" w:cs="Arial"/>
          <w:lang w:eastAsia="en-US"/>
        </w:rPr>
        <w:t xml:space="preserve">(komponenta Zdravstvo; procijenjena sredstva 84.942.597,39 eura; financiranje bespovratnim sredstvima). </w:t>
      </w:r>
    </w:p>
    <w:p w14:paraId="0645DBD4" w14:textId="77777777" w:rsidR="008D2482" w:rsidRPr="00A93C41" w:rsidRDefault="008D2482" w:rsidP="008D2482">
      <w:pPr>
        <w:widowControl/>
        <w:autoSpaceDE/>
        <w:autoSpaceDN/>
        <w:adjustRightInd/>
        <w:ind w:firstLine="567"/>
        <w:rPr>
          <w:rFonts w:cs="Arial"/>
        </w:rPr>
      </w:pPr>
    </w:p>
    <w:p w14:paraId="410EF8F5" w14:textId="77777777" w:rsidR="008D2482" w:rsidRPr="00A93C41" w:rsidRDefault="008D2482" w:rsidP="008D2482">
      <w:pPr>
        <w:shd w:val="clear" w:color="auto" w:fill="FFFFFF"/>
        <w:ind w:firstLine="567"/>
        <w:rPr>
          <w:rFonts w:eastAsia="Calibri" w:cs="Arial"/>
          <w:bCs/>
          <w:lang w:eastAsia="en-US"/>
        </w:rPr>
      </w:pPr>
      <w:r w:rsidRPr="00A93C41">
        <w:rPr>
          <w:rFonts w:eastAsia="Calibri" w:cs="Arial"/>
          <w:b/>
          <w:bCs/>
          <w:lang w:eastAsia="en-US"/>
        </w:rPr>
        <w:t xml:space="preserve">Osnovni cilj revizije </w:t>
      </w:r>
      <w:r w:rsidRPr="00A93C41">
        <w:rPr>
          <w:rFonts w:eastAsia="Calibri" w:cs="Arial"/>
          <w:bCs/>
          <w:lang w:eastAsia="en-US"/>
        </w:rPr>
        <w:t>bio je ocijeniti učinkovitost korištenja sredstava raspoloživih iz Mehanizma za oporavak i otpornost u Republici Hrvatskoj u provedbi reformi i ulaganja iz NPOO-a na temelju:</w:t>
      </w:r>
    </w:p>
    <w:p w14:paraId="76719788" w14:textId="77777777" w:rsidR="008D2482" w:rsidRPr="00A93C41" w:rsidRDefault="008D2482" w:rsidP="008D2482">
      <w:pPr>
        <w:shd w:val="clear" w:color="auto" w:fill="FFFFFF"/>
        <w:ind w:firstLine="567"/>
        <w:rPr>
          <w:rFonts w:eastAsia="Calibri" w:cs="Arial"/>
          <w:bCs/>
          <w:lang w:eastAsia="en-US"/>
        </w:rPr>
      </w:pPr>
    </w:p>
    <w:p w14:paraId="7ECF3603" w14:textId="77777777" w:rsidR="008D2482" w:rsidRPr="00A93C41" w:rsidRDefault="008D2482" w:rsidP="008D2482">
      <w:pPr>
        <w:pStyle w:val="Odlomakpopisa"/>
        <w:numPr>
          <w:ilvl w:val="0"/>
          <w:numId w:val="9"/>
        </w:numPr>
        <w:shd w:val="clear" w:color="auto" w:fill="FFFFFF"/>
        <w:spacing w:line="240" w:lineRule="auto"/>
        <w:ind w:left="567" w:hanging="567"/>
        <w:jc w:val="both"/>
        <w:rPr>
          <w:rFonts w:ascii="Arial" w:eastAsia="Calibri" w:hAnsi="Arial" w:cs="Arial"/>
          <w:bCs/>
          <w:sz w:val="24"/>
          <w:szCs w:val="24"/>
        </w:rPr>
      </w:pPr>
      <w:r w:rsidRPr="00A93C41">
        <w:rPr>
          <w:rFonts w:ascii="Arial" w:eastAsia="Calibri" w:hAnsi="Arial" w:cs="Arial"/>
          <w:bCs/>
          <w:sz w:val="24"/>
          <w:szCs w:val="24"/>
        </w:rPr>
        <w:t>uvida u primjenu strateškog, pravnog i institucionalnog okvira</w:t>
      </w:r>
    </w:p>
    <w:p w14:paraId="6E5809CC" w14:textId="77777777" w:rsidR="008D2482" w:rsidRPr="00A93C41" w:rsidRDefault="008D2482" w:rsidP="008D2482">
      <w:pPr>
        <w:pStyle w:val="Odlomakpopisa"/>
        <w:numPr>
          <w:ilvl w:val="0"/>
          <w:numId w:val="9"/>
        </w:numPr>
        <w:shd w:val="clear" w:color="auto" w:fill="FFFFFF"/>
        <w:spacing w:line="240" w:lineRule="auto"/>
        <w:ind w:left="567" w:hanging="567"/>
        <w:jc w:val="both"/>
        <w:rPr>
          <w:rFonts w:ascii="Arial" w:eastAsia="Calibri" w:hAnsi="Arial" w:cs="Arial"/>
          <w:bCs/>
          <w:sz w:val="24"/>
          <w:szCs w:val="24"/>
        </w:rPr>
      </w:pPr>
      <w:r w:rsidRPr="00A93C41">
        <w:rPr>
          <w:rFonts w:ascii="Arial" w:eastAsia="Calibri" w:hAnsi="Arial" w:cs="Arial"/>
          <w:bCs/>
          <w:sz w:val="24"/>
          <w:szCs w:val="24"/>
        </w:rPr>
        <w:t xml:space="preserve">analize podataka o statusu ostvarenja ključnih etapa i ciljnih vrijednosti iz NPOO-a </w:t>
      </w:r>
    </w:p>
    <w:p w14:paraId="427CC8ED" w14:textId="77777777" w:rsidR="008D2482" w:rsidRPr="00A93C41" w:rsidRDefault="008D2482" w:rsidP="008D2482">
      <w:pPr>
        <w:pStyle w:val="Odlomakpopisa"/>
        <w:numPr>
          <w:ilvl w:val="0"/>
          <w:numId w:val="9"/>
        </w:numPr>
        <w:shd w:val="clear" w:color="auto" w:fill="FFFFFF"/>
        <w:spacing w:line="240" w:lineRule="auto"/>
        <w:ind w:left="567" w:hanging="567"/>
        <w:jc w:val="both"/>
        <w:rPr>
          <w:rFonts w:ascii="Arial" w:eastAsia="Calibri" w:hAnsi="Arial" w:cs="Arial"/>
          <w:bCs/>
          <w:sz w:val="24"/>
          <w:szCs w:val="24"/>
        </w:rPr>
      </w:pPr>
      <w:r w:rsidRPr="00A93C41">
        <w:rPr>
          <w:rFonts w:ascii="Arial" w:eastAsia="Calibri" w:hAnsi="Arial" w:cs="Arial"/>
          <w:bCs/>
          <w:sz w:val="24"/>
          <w:szCs w:val="24"/>
        </w:rPr>
        <w:t>analize dokumentacije o provedbi ulaganja izabranih za revizijski uzorak</w:t>
      </w:r>
    </w:p>
    <w:p w14:paraId="483502A4" w14:textId="77777777" w:rsidR="008D2482" w:rsidRPr="00A93C41" w:rsidRDefault="008D2482" w:rsidP="008D2482">
      <w:pPr>
        <w:pStyle w:val="Odlomakpopisa"/>
        <w:numPr>
          <w:ilvl w:val="0"/>
          <w:numId w:val="9"/>
        </w:numPr>
        <w:shd w:val="clear" w:color="auto" w:fill="FFFFFF"/>
        <w:spacing w:line="240" w:lineRule="auto"/>
        <w:ind w:left="567" w:hanging="567"/>
        <w:jc w:val="both"/>
        <w:rPr>
          <w:rFonts w:ascii="Arial" w:eastAsia="Calibri" w:hAnsi="Arial" w:cs="Arial"/>
          <w:bCs/>
          <w:sz w:val="24"/>
          <w:szCs w:val="24"/>
        </w:rPr>
      </w:pPr>
      <w:r w:rsidRPr="00A93C41">
        <w:rPr>
          <w:rFonts w:ascii="Arial" w:eastAsia="Calibri" w:hAnsi="Arial" w:cs="Arial"/>
          <w:bCs/>
          <w:sz w:val="24"/>
          <w:szCs w:val="24"/>
        </w:rPr>
        <w:t xml:space="preserve">provjere relevantnih financijskih podataka o korištenju sredstava iz Mehanizma za oporavak i otpornost te načina izvještavanja.  </w:t>
      </w:r>
    </w:p>
    <w:p w14:paraId="34B31F8D" w14:textId="77777777" w:rsidR="008D2482" w:rsidRPr="00A93C41" w:rsidRDefault="008D2482" w:rsidP="008D2482">
      <w:pPr>
        <w:widowControl/>
        <w:shd w:val="clear" w:color="auto" w:fill="FFFFFF"/>
        <w:autoSpaceDE/>
        <w:autoSpaceDN/>
        <w:adjustRightInd/>
        <w:ind w:firstLine="567"/>
        <w:rPr>
          <w:rFonts w:eastAsia="Calibri" w:cs="Arial"/>
          <w:bCs/>
          <w:lang w:eastAsia="en-US"/>
        </w:rPr>
      </w:pPr>
      <w:r w:rsidRPr="00A93C41">
        <w:rPr>
          <w:rFonts w:eastAsia="Calibri" w:cs="Arial"/>
          <w:b/>
          <w:bCs/>
          <w:lang w:eastAsia="en-US"/>
        </w:rPr>
        <w:lastRenderedPageBreak/>
        <w:t>Subjekti revizije</w:t>
      </w:r>
      <w:r w:rsidRPr="00A93C41">
        <w:rPr>
          <w:rFonts w:eastAsia="Calibri" w:cs="Arial"/>
          <w:bCs/>
          <w:lang w:eastAsia="en-US"/>
        </w:rPr>
        <w:t xml:space="preserve"> bila su tijela nadležna za upravljanje i praćenje provedbe aktivnosti u okviru NPOO-a te tijela nadležna za provedbu ulaganja (iz odabranog revizijskog uzorka):</w:t>
      </w:r>
    </w:p>
    <w:p w14:paraId="56CE331F" w14:textId="77777777" w:rsidR="008D2482" w:rsidRPr="00A93C41" w:rsidRDefault="008D2482" w:rsidP="008D2482">
      <w:pPr>
        <w:widowControl/>
        <w:shd w:val="clear" w:color="auto" w:fill="FFFFFF"/>
        <w:autoSpaceDE/>
        <w:autoSpaceDN/>
        <w:adjustRightInd/>
        <w:ind w:firstLine="567"/>
        <w:rPr>
          <w:rFonts w:eastAsia="Calibri" w:cs="Arial"/>
          <w:bCs/>
          <w:lang w:eastAsia="en-US"/>
        </w:rPr>
      </w:pPr>
    </w:p>
    <w:p w14:paraId="3F8C105E" w14:textId="4B5AE59B"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Ministarstvo financija –</w:t>
      </w:r>
      <w:r w:rsidRPr="00A93C41">
        <w:rPr>
          <w:rFonts w:eastAsia="Calibri" w:cs="Arial"/>
          <w:b/>
          <w:bCs/>
          <w:lang w:eastAsia="en-US"/>
        </w:rPr>
        <w:t xml:space="preserve"> </w:t>
      </w:r>
      <w:r w:rsidRPr="00A93C41">
        <w:rPr>
          <w:rFonts w:eastAsia="Calibri" w:cs="Arial"/>
          <w:bCs/>
          <w:lang w:eastAsia="en-US"/>
        </w:rPr>
        <w:t>Sektor za koordinaciju praćenja provedbe Nacionalnog plana oporavka i otpornosti u Upravi za makroekonomske analize, Europsku uniju i međunarodne financijske odnose</w:t>
      </w:r>
      <w:r w:rsidR="0018415E" w:rsidRPr="00A93C41">
        <w:rPr>
          <w:rFonts w:eastAsia="Calibri" w:cs="Arial"/>
          <w:bCs/>
          <w:lang w:eastAsia="en-US"/>
        </w:rPr>
        <w:t xml:space="preserve"> te</w:t>
      </w:r>
      <w:r w:rsidRPr="00A93C41">
        <w:rPr>
          <w:rFonts w:eastAsia="Calibri" w:cs="Arial"/>
          <w:bCs/>
          <w:lang w:eastAsia="en-US"/>
        </w:rPr>
        <w:t xml:space="preserve"> Sektor za poslove Nacionalnog fonda u Državnoj riznici </w:t>
      </w:r>
    </w:p>
    <w:p w14:paraId="7B5CB365"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Ministarstvo gospodarstva </w:t>
      </w:r>
    </w:p>
    <w:p w14:paraId="2E5B344F"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Ministarstvo znanosti, obrazovanja i mladih </w:t>
      </w:r>
    </w:p>
    <w:p w14:paraId="7BF29609"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Ministarstvo zdravstva </w:t>
      </w:r>
    </w:p>
    <w:p w14:paraId="2472C138"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Fond za zaštitu okoliša i energetsku učinkovitost </w:t>
      </w:r>
    </w:p>
    <w:p w14:paraId="616B5530"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Središnja agencija za financiranje i ugovaranje programa i projekata Europske unije </w:t>
      </w:r>
    </w:p>
    <w:p w14:paraId="6DAFF617"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 xml:space="preserve">LNG Hrvatska d.o.o. </w:t>
      </w:r>
    </w:p>
    <w:p w14:paraId="1280C087" w14:textId="77777777" w:rsidR="008D2482" w:rsidRPr="00A93C41" w:rsidRDefault="008D2482" w:rsidP="008D2482">
      <w:pPr>
        <w:widowControl/>
        <w:numPr>
          <w:ilvl w:val="0"/>
          <w:numId w:val="8"/>
        </w:numPr>
        <w:shd w:val="clear" w:color="auto" w:fill="FFFFFF"/>
        <w:autoSpaceDE/>
        <w:autoSpaceDN/>
        <w:adjustRightInd/>
        <w:ind w:left="567" w:hanging="567"/>
        <w:rPr>
          <w:rFonts w:eastAsia="Calibri" w:cs="Arial"/>
          <w:bCs/>
          <w:lang w:eastAsia="en-US"/>
        </w:rPr>
      </w:pPr>
      <w:r w:rsidRPr="00A93C41">
        <w:rPr>
          <w:rFonts w:eastAsia="Calibri" w:cs="Arial"/>
          <w:bCs/>
          <w:lang w:eastAsia="en-US"/>
        </w:rPr>
        <w:t>Plinacro d.o.o. i</w:t>
      </w:r>
    </w:p>
    <w:p w14:paraId="7066AB5E" w14:textId="77777777" w:rsidR="008D2482" w:rsidRPr="00A93C41" w:rsidRDefault="008D2482" w:rsidP="008D2482">
      <w:pPr>
        <w:widowControl/>
        <w:numPr>
          <w:ilvl w:val="0"/>
          <w:numId w:val="8"/>
        </w:numPr>
        <w:shd w:val="clear" w:color="auto" w:fill="FFFFFF"/>
        <w:autoSpaceDE/>
        <w:autoSpaceDN/>
        <w:adjustRightInd/>
        <w:spacing w:after="200"/>
        <w:ind w:left="567" w:hanging="567"/>
        <w:rPr>
          <w:rFonts w:eastAsia="Calibri" w:cs="Arial"/>
          <w:bCs/>
          <w:lang w:eastAsia="en-US"/>
        </w:rPr>
      </w:pPr>
      <w:r w:rsidRPr="00A93C41">
        <w:rPr>
          <w:rFonts w:eastAsia="Calibri" w:cs="Arial"/>
          <w:bCs/>
          <w:lang w:eastAsia="en-US"/>
        </w:rPr>
        <w:t>Agencija za reviziju sustava provedbe programa Europske unije.</w:t>
      </w:r>
    </w:p>
    <w:p w14:paraId="2DC93B6C" w14:textId="4857B435" w:rsidR="008D2482" w:rsidRPr="00A93C41" w:rsidRDefault="008D2482" w:rsidP="008D2482">
      <w:pPr>
        <w:widowControl/>
        <w:autoSpaceDE/>
        <w:autoSpaceDN/>
        <w:adjustRightInd/>
        <w:ind w:firstLine="567"/>
        <w:rPr>
          <w:rFonts w:cs="Arial"/>
        </w:rPr>
      </w:pPr>
      <w:r w:rsidRPr="00A93C41">
        <w:rPr>
          <w:rFonts w:cs="Arial"/>
        </w:rPr>
        <w:t xml:space="preserve">Revizija se provodila uz primjenu </w:t>
      </w:r>
      <w:r w:rsidRPr="00A93C41">
        <w:rPr>
          <w:rFonts w:cs="Arial"/>
          <w:b/>
        </w:rPr>
        <w:t>agilnog pristupa</w:t>
      </w:r>
      <w:r w:rsidRPr="00A93C41">
        <w:rPr>
          <w:rFonts w:cs="Arial"/>
        </w:rPr>
        <w:t xml:space="preserve">, koji predviđa izrađivanje kraćih </w:t>
      </w:r>
      <w:proofErr w:type="spellStart"/>
      <w:r w:rsidRPr="00A93C41">
        <w:rPr>
          <w:rFonts w:cs="Arial"/>
        </w:rPr>
        <w:t>međuizvješća</w:t>
      </w:r>
      <w:proofErr w:type="spellEnd"/>
      <w:r w:rsidRPr="00A93C41">
        <w:rPr>
          <w:rFonts w:cs="Arial"/>
        </w:rPr>
        <w:t xml:space="preserve"> tijekom provedbe revizije te izradu konačnog izvješća po završetku revizije. Slijedom navedenog, izrađena su dva </w:t>
      </w:r>
      <w:proofErr w:type="spellStart"/>
      <w:r w:rsidRPr="00A93C41">
        <w:rPr>
          <w:rFonts w:cs="Arial"/>
        </w:rPr>
        <w:t>međuizvješća</w:t>
      </w:r>
      <w:proofErr w:type="spellEnd"/>
      <w:r w:rsidRPr="00A93C41">
        <w:rPr>
          <w:rFonts w:cs="Arial"/>
        </w:rPr>
        <w:t xml:space="preserve"> (srpanj i studeni 2024.) koja su dostavljena subjektima revizije </w:t>
      </w:r>
      <w:r w:rsidR="0018415E" w:rsidRPr="00A93C41">
        <w:rPr>
          <w:rFonts w:cs="Arial"/>
        </w:rPr>
        <w:t>radi</w:t>
      </w:r>
      <w:r w:rsidRPr="00A93C41">
        <w:rPr>
          <w:rFonts w:cs="Arial"/>
        </w:rPr>
        <w:t xml:space="preserve"> ažurne provedbe danih naloga i/ili preporuka.</w:t>
      </w:r>
      <w:r w:rsidRPr="00A93C41">
        <w:rPr>
          <w:rFonts w:ascii="Bookman Old Style" w:hAnsi="Bookman Old Style" w:cstheme="minorHAnsi"/>
        </w:rPr>
        <w:t xml:space="preserve"> </w:t>
      </w:r>
      <w:r w:rsidRPr="00A93C41">
        <w:rPr>
          <w:rFonts w:cs="Arial"/>
        </w:rPr>
        <w:t>Takav revizijski pristup temeljio se na kontinuiranoj suradnji članova tima s predstavnicima subjekata revizije te je bio usmjeren na područja koja predstavljaju najveće rizike s ciljem brze isporuke rezultata revizije, uz istodobno osiguranje kvalitete.</w:t>
      </w:r>
    </w:p>
    <w:p w14:paraId="1BF964E5" w14:textId="77777777" w:rsidR="008D2482" w:rsidRPr="00A93C41" w:rsidRDefault="008D2482" w:rsidP="008D2482">
      <w:pPr>
        <w:widowControl/>
        <w:shd w:val="clear" w:color="auto" w:fill="FFFFFF"/>
        <w:autoSpaceDE/>
        <w:autoSpaceDN/>
        <w:adjustRightInd/>
        <w:ind w:firstLine="567"/>
        <w:rPr>
          <w:rFonts w:eastAsia="Calibri" w:cs="Arial"/>
          <w:lang w:eastAsia="en-US"/>
        </w:rPr>
      </w:pPr>
    </w:p>
    <w:p w14:paraId="49A063AE" w14:textId="77777777" w:rsidR="008D2482" w:rsidRPr="00A93C41" w:rsidRDefault="008D2482" w:rsidP="008D2482">
      <w:pPr>
        <w:widowControl/>
        <w:shd w:val="clear" w:color="auto" w:fill="FFFFFF"/>
        <w:autoSpaceDE/>
        <w:autoSpaceDN/>
        <w:adjustRightInd/>
        <w:ind w:firstLine="567"/>
        <w:rPr>
          <w:rFonts w:eastAsia="Calibri" w:cs="Arial"/>
          <w:lang w:eastAsia="en-US"/>
        </w:rPr>
      </w:pPr>
      <w:r w:rsidRPr="00A93C41">
        <w:rPr>
          <w:rFonts w:eastAsia="Calibri" w:cs="Arial"/>
          <w:lang w:eastAsia="en-US"/>
        </w:rPr>
        <w:t>Revizijom je, između ostalog, utvrđeno sljedeće:</w:t>
      </w:r>
    </w:p>
    <w:p w14:paraId="291CF6C9" w14:textId="77777777" w:rsidR="008D2482" w:rsidRPr="00A93C41" w:rsidRDefault="008D2482" w:rsidP="008D2482">
      <w:pPr>
        <w:widowControl/>
        <w:shd w:val="clear" w:color="auto" w:fill="FFFFFF"/>
        <w:autoSpaceDE/>
        <w:autoSpaceDN/>
        <w:adjustRightInd/>
        <w:ind w:firstLine="567"/>
        <w:rPr>
          <w:rFonts w:eastAsia="Calibri" w:cs="Arial"/>
          <w:lang w:eastAsia="en-US"/>
        </w:rPr>
      </w:pPr>
    </w:p>
    <w:p w14:paraId="57343810" w14:textId="67A91E02" w:rsidR="008D2482" w:rsidRPr="00A93C41" w:rsidRDefault="008D2482" w:rsidP="008D2482">
      <w:pPr>
        <w:pStyle w:val="Odlomakpopisa"/>
        <w:numPr>
          <w:ilvl w:val="0"/>
          <w:numId w:val="10"/>
        </w:numPr>
        <w:shd w:val="clear" w:color="auto" w:fill="FFFFFF"/>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uspostavljeni su strateški, pravni i institucionalnih okviri, odnosno određene su institucije i tijela RH za provedbu aktivnosti iz NPOO-a, međutim utvrđene su manje slabosti i propusti kod uspostave pravnog i institucionalnog okvira koje bitno ne utječu na ostvarenje utvrđenih reformi i ulaganja</w:t>
      </w:r>
    </w:p>
    <w:p w14:paraId="09579CC0" w14:textId="443BB6BF" w:rsidR="008D2482" w:rsidRPr="00A93C41" w:rsidRDefault="008D2482" w:rsidP="008D2482">
      <w:pPr>
        <w:pStyle w:val="Odlomakpopisa"/>
        <w:numPr>
          <w:ilvl w:val="0"/>
          <w:numId w:val="10"/>
        </w:numPr>
        <w:shd w:val="clear" w:color="auto" w:fill="FFFFFF"/>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 xml:space="preserve">određena tijela/subjekti revizije ne postupaju u cijelosti u skladu s pojedinim zadanim ulogama i odgovornostima (npr. utvrđen je nedostatak specifičnih znanja i iskustava potrebnih za provedbu određenih </w:t>
      </w:r>
      <w:r w:rsidR="00CE5AB0" w:rsidRPr="00A93C41">
        <w:rPr>
          <w:rFonts w:ascii="Arial" w:eastAsia="Calibri" w:hAnsi="Arial" w:cs="Arial"/>
          <w:sz w:val="24"/>
          <w:szCs w:val="24"/>
        </w:rPr>
        <w:t xml:space="preserve">propisanih </w:t>
      </w:r>
      <w:r w:rsidRPr="00A93C41">
        <w:rPr>
          <w:rFonts w:ascii="Arial" w:eastAsia="Calibri" w:hAnsi="Arial" w:cs="Arial"/>
          <w:sz w:val="24"/>
          <w:szCs w:val="24"/>
        </w:rPr>
        <w:t>funkcija te nedostatak administrativnih kapaciteta za obavlja</w:t>
      </w:r>
      <w:r w:rsidR="007C340B" w:rsidRPr="00A93C41">
        <w:rPr>
          <w:rFonts w:ascii="Arial" w:eastAsia="Calibri" w:hAnsi="Arial" w:cs="Arial"/>
          <w:sz w:val="24"/>
          <w:szCs w:val="24"/>
        </w:rPr>
        <w:t>nje</w:t>
      </w:r>
      <w:r w:rsidRPr="00A93C41">
        <w:rPr>
          <w:rFonts w:ascii="Arial" w:eastAsia="Calibri" w:hAnsi="Arial" w:cs="Arial"/>
          <w:sz w:val="24"/>
          <w:szCs w:val="24"/>
        </w:rPr>
        <w:t xml:space="preserve"> pojedinih propisanih zadaća)</w:t>
      </w:r>
    </w:p>
    <w:p w14:paraId="01252A8D" w14:textId="77777777" w:rsidR="008D2482" w:rsidRPr="00A93C41" w:rsidRDefault="008D2482" w:rsidP="008D2482">
      <w:pPr>
        <w:pStyle w:val="Odlomakpopisa"/>
        <w:numPr>
          <w:ilvl w:val="0"/>
          <w:numId w:val="10"/>
        </w:numPr>
        <w:shd w:val="clear" w:color="auto" w:fill="FFFFFF"/>
        <w:spacing w:line="240" w:lineRule="auto"/>
        <w:ind w:left="567" w:hanging="567"/>
        <w:jc w:val="both"/>
        <w:rPr>
          <w:rFonts w:ascii="Arial" w:eastAsia="Calibri" w:hAnsi="Arial" w:cs="Arial"/>
          <w:sz w:val="24"/>
          <w:szCs w:val="24"/>
        </w:rPr>
      </w:pPr>
      <w:r w:rsidRPr="00A93C41">
        <w:rPr>
          <w:rFonts w:ascii="Arial" w:eastAsia="Calibri" w:hAnsi="Arial" w:cs="Arial"/>
          <w:sz w:val="24"/>
          <w:szCs w:val="24"/>
        </w:rPr>
        <w:t>mjere u NPOO-u provode se u skladu s planiranom dinamikom, ali su utvrđeni problemi u provedbi određenih aktivnosti na temelju kojih je utvrđen rizik da određene mjere definirane NPOO-om neće biti ostvarene u predviđenom roku</w:t>
      </w:r>
    </w:p>
    <w:p w14:paraId="09DE0A90" w14:textId="77777777" w:rsidR="008D2482" w:rsidRPr="00A93C41" w:rsidRDefault="008D2482" w:rsidP="008D2482">
      <w:pPr>
        <w:pStyle w:val="Odlomakpopisa"/>
        <w:numPr>
          <w:ilvl w:val="0"/>
          <w:numId w:val="10"/>
        </w:numPr>
        <w:shd w:val="clear" w:color="auto" w:fill="FFFFFF"/>
        <w:spacing w:after="0" w:line="240" w:lineRule="auto"/>
        <w:ind w:left="567" w:hanging="567"/>
        <w:jc w:val="both"/>
        <w:rPr>
          <w:rFonts w:ascii="Arial" w:eastAsia="Calibri" w:hAnsi="Arial" w:cs="Arial"/>
          <w:sz w:val="24"/>
          <w:szCs w:val="24"/>
        </w:rPr>
      </w:pPr>
      <w:r w:rsidRPr="00A93C41">
        <w:rPr>
          <w:rFonts w:ascii="Arial" w:eastAsia="Calibri" w:hAnsi="Arial" w:cs="Arial"/>
          <w:sz w:val="24"/>
          <w:szCs w:val="24"/>
        </w:rPr>
        <w:t>Republika Hrvatska je uspješna u ostvarenju definiranih reformskih pa time i u povlačenju sredstava iz Mehanizma za oporavak i otpornost (iznad prosjeka EU-a).</w:t>
      </w:r>
    </w:p>
    <w:p w14:paraId="2647F7A7" w14:textId="77777777" w:rsidR="008D2482" w:rsidRPr="00A93C41" w:rsidRDefault="008D2482" w:rsidP="008D2482">
      <w:pPr>
        <w:pStyle w:val="Odlomakpopisa"/>
        <w:shd w:val="clear" w:color="auto" w:fill="FFFFFF"/>
        <w:spacing w:after="0" w:line="240" w:lineRule="auto"/>
        <w:ind w:left="567"/>
        <w:jc w:val="both"/>
        <w:rPr>
          <w:rFonts w:ascii="Arial" w:eastAsia="Calibri" w:hAnsi="Arial" w:cs="Arial"/>
          <w:sz w:val="24"/>
          <w:szCs w:val="24"/>
        </w:rPr>
      </w:pPr>
    </w:p>
    <w:p w14:paraId="5896FCA2" w14:textId="05A0EFA6" w:rsidR="000E0B66" w:rsidRPr="00A93C41" w:rsidRDefault="008D2482" w:rsidP="008D2482">
      <w:pPr>
        <w:widowControl/>
        <w:shd w:val="clear" w:color="auto" w:fill="FFFFFF"/>
        <w:autoSpaceDE/>
        <w:autoSpaceDN/>
        <w:adjustRightInd/>
        <w:ind w:firstLine="567"/>
        <w:rPr>
          <w:rFonts w:eastAsiaTheme="minorHAnsi" w:cs="Arial"/>
        </w:rPr>
      </w:pPr>
      <w:r w:rsidRPr="00A93C41">
        <w:rPr>
          <w:rFonts w:eastAsia="Calibri" w:cs="Arial"/>
          <w:szCs w:val="22"/>
          <w:lang w:eastAsia="en-US"/>
        </w:rPr>
        <w:t xml:space="preserve"> Ured je ocijenio da je provedba aktivnosti obuhvaćenih revizijom </w:t>
      </w:r>
      <w:r w:rsidRPr="00A93C41">
        <w:rPr>
          <w:rFonts w:eastAsia="Calibri" w:cs="Arial"/>
          <w:b/>
          <w:szCs w:val="22"/>
          <w:lang w:eastAsia="en-US"/>
        </w:rPr>
        <w:t>učinkovit</w:t>
      </w:r>
      <w:r w:rsidRPr="00A93C41">
        <w:rPr>
          <w:rFonts w:eastAsia="Calibri" w:cs="Arial"/>
          <w:szCs w:val="22"/>
          <w:lang w:eastAsia="en-US"/>
        </w:rPr>
        <w:t xml:space="preserve">a, </w:t>
      </w:r>
      <w:r w:rsidRPr="00A93C41">
        <w:rPr>
          <w:rFonts w:eastAsia="Calibri" w:cs="Arial"/>
          <w:b/>
          <w:szCs w:val="22"/>
          <w:lang w:eastAsia="en-US"/>
        </w:rPr>
        <w:t>pri čemu su potrebna poboljšanja</w:t>
      </w:r>
      <w:r w:rsidRPr="00A93C41">
        <w:rPr>
          <w:rFonts w:eastAsia="Calibri" w:cs="Arial"/>
          <w:szCs w:val="22"/>
          <w:lang w:eastAsia="en-US"/>
        </w:rPr>
        <w:t xml:space="preserve"> te je subjektima revizije dao ukupno </w:t>
      </w:r>
      <w:r w:rsidRPr="00A93C41">
        <w:rPr>
          <w:rFonts w:eastAsia="Calibri" w:cs="Arial"/>
          <w:b/>
          <w:szCs w:val="22"/>
          <w:lang w:eastAsia="en-US"/>
        </w:rPr>
        <w:t>deset preporuka</w:t>
      </w:r>
      <w:r w:rsidRPr="00A93C41">
        <w:rPr>
          <w:rFonts w:eastAsia="Calibri" w:cs="Arial"/>
          <w:szCs w:val="22"/>
          <w:lang w:eastAsia="en-US"/>
        </w:rPr>
        <w:t xml:space="preserve"> (u dva pripremljena </w:t>
      </w:r>
      <w:proofErr w:type="spellStart"/>
      <w:r w:rsidRPr="00A93C41">
        <w:rPr>
          <w:rFonts w:eastAsia="Calibri" w:cs="Arial"/>
          <w:szCs w:val="22"/>
          <w:lang w:eastAsia="en-US"/>
        </w:rPr>
        <w:t>međuizvješća</w:t>
      </w:r>
      <w:proofErr w:type="spellEnd"/>
      <w:r w:rsidRPr="00A93C41">
        <w:rPr>
          <w:rFonts w:eastAsia="Calibri" w:cs="Arial"/>
          <w:szCs w:val="22"/>
          <w:lang w:eastAsia="en-US"/>
        </w:rPr>
        <w:t xml:space="preserve">), od čega su </w:t>
      </w:r>
      <w:r w:rsidR="0018415E" w:rsidRPr="00A93C41">
        <w:rPr>
          <w:rFonts w:eastAsiaTheme="minorHAnsi" w:cs="Arial"/>
        </w:rPr>
        <w:t>do pripreme konačnog izvješća</w:t>
      </w:r>
      <w:r w:rsidRPr="00A93C41">
        <w:rPr>
          <w:rFonts w:eastAsiaTheme="minorHAnsi" w:cs="Arial"/>
        </w:rPr>
        <w:t xml:space="preserve"> subjekti uspješno </w:t>
      </w:r>
      <w:r w:rsidRPr="00A93C41">
        <w:rPr>
          <w:rFonts w:eastAsiaTheme="minorHAnsi" w:cs="Arial"/>
          <w:b/>
        </w:rPr>
        <w:t>proveli tri preporuke, dvije su djelomično proveli, dok je pet preporuka preostalo za provesti u cijelosti</w:t>
      </w:r>
      <w:r w:rsidRPr="00A93C41">
        <w:rPr>
          <w:rFonts w:eastAsiaTheme="minorHAnsi" w:cs="Arial"/>
        </w:rPr>
        <w:t>.</w:t>
      </w:r>
    </w:p>
    <w:p w14:paraId="0648A1D2" w14:textId="77777777" w:rsidR="00585DA9" w:rsidRPr="00A93C41" w:rsidRDefault="00585DA9" w:rsidP="00EE3381">
      <w:pPr>
        <w:ind w:firstLine="567"/>
        <w:rPr>
          <w:rFonts w:cs="Arial"/>
        </w:rPr>
      </w:pPr>
    </w:p>
    <w:p w14:paraId="3366CB0A" w14:textId="10B15E81" w:rsidR="00CD6159" w:rsidRPr="00A93C41" w:rsidRDefault="00CD6159" w:rsidP="00EE3381">
      <w:pPr>
        <w:ind w:firstLine="567"/>
        <w:rPr>
          <w:rFonts w:cs="Arial"/>
        </w:rPr>
      </w:pPr>
    </w:p>
    <w:p w14:paraId="7F834005" w14:textId="41ACFE42" w:rsidR="008D328E" w:rsidRPr="00A93C41" w:rsidRDefault="008D328E" w:rsidP="0015358D">
      <w:pPr>
        <w:shd w:val="clear" w:color="auto" w:fill="D9D9D9" w:themeFill="background1" w:themeFillShade="D9"/>
        <w:ind w:firstLine="567"/>
        <w:rPr>
          <w:rFonts w:cs="Arial"/>
          <w:b/>
        </w:rPr>
      </w:pPr>
      <w:r w:rsidRPr="00A93C41">
        <w:rPr>
          <w:rFonts w:cs="Arial"/>
          <w:b/>
        </w:rPr>
        <w:t>REVIZIJE USKLAĐENOSTI</w:t>
      </w:r>
    </w:p>
    <w:p w14:paraId="710BFB7F" w14:textId="77777777" w:rsidR="006D35FC" w:rsidRPr="00A93C41" w:rsidRDefault="006D35FC" w:rsidP="006D35FC">
      <w:pPr>
        <w:ind w:firstLine="567"/>
      </w:pPr>
    </w:p>
    <w:p w14:paraId="558ED5E7" w14:textId="39A9977B" w:rsidR="00A46740" w:rsidRPr="00A93C41" w:rsidRDefault="006D35FC" w:rsidP="008D2482">
      <w:pPr>
        <w:ind w:firstLine="567"/>
      </w:pPr>
      <w:r w:rsidRPr="00A93C41">
        <w:t>Revizijom usklađenosti provjerava se usklađenost</w:t>
      </w:r>
      <w:r w:rsidRPr="00A93C41">
        <w:rPr>
          <w:b/>
        </w:rPr>
        <w:t xml:space="preserve"> </w:t>
      </w:r>
      <w:r w:rsidRPr="00A93C41">
        <w:t>poslovanja s propisima i unutarnjim aktima značajnima za poslovanje subjekta revizije. Izražava se mišljenje o usklađenosti poslovanja: bezuvjetno, uvjetno, suzdržano, nepovoljno.</w:t>
      </w:r>
    </w:p>
    <w:p w14:paraId="20D21417" w14:textId="09FAFFD7" w:rsidR="00161B45" w:rsidRPr="00A93C41" w:rsidRDefault="0015358D" w:rsidP="0015358D">
      <w:pPr>
        <w:tabs>
          <w:tab w:val="left" w:pos="567"/>
        </w:tabs>
        <w:rPr>
          <w:rFonts w:cs="Arial"/>
          <w:b/>
        </w:rPr>
      </w:pPr>
      <w:r w:rsidRPr="00A93C41">
        <w:rPr>
          <w:rFonts w:cs="Arial"/>
          <w:b/>
        </w:rPr>
        <w:lastRenderedPageBreak/>
        <w:t>–</w:t>
      </w:r>
      <w:r w:rsidRPr="00A93C41">
        <w:rPr>
          <w:rFonts w:cs="Arial"/>
          <w:b/>
        </w:rPr>
        <w:tab/>
      </w:r>
      <w:r w:rsidR="00161B45" w:rsidRPr="00A93C41">
        <w:rPr>
          <w:rFonts w:cs="Arial"/>
          <w:b/>
        </w:rPr>
        <w:t>FINANCIJSKA INSTITUCIJA</w:t>
      </w:r>
    </w:p>
    <w:p w14:paraId="7D3598B1" w14:textId="0C2FCA58" w:rsidR="000E1FD8" w:rsidRPr="00A93C41" w:rsidRDefault="000E1FD8" w:rsidP="0015358D">
      <w:pPr>
        <w:tabs>
          <w:tab w:val="left" w:pos="567"/>
        </w:tabs>
        <w:rPr>
          <w:rFonts w:cs="Arial"/>
          <w:b/>
        </w:rPr>
      </w:pPr>
    </w:p>
    <w:p w14:paraId="5BACCE09" w14:textId="2B749A28" w:rsidR="000E1FD8" w:rsidRPr="00A93C41" w:rsidRDefault="000E1FD8" w:rsidP="000E1FD8">
      <w:pPr>
        <w:tabs>
          <w:tab w:val="left" w:pos="567"/>
        </w:tabs>
        <w:rPr>
          <w:rFonts w:cs="Arial"/>
        </w:rPr>
      </w:pPr>
      <w:r w:rsidRPr="00A93C41">
        <w:rPr>
          <w:rFonts w:cs="Arial"/>
        </w:rPr>
        <w:tab/>
        <w:t xml:space="preserve">Obavljena je revizija usklađenosti poslovanja </w:t>
      </w:r>
      <w:r w:rsidRPr="00A93C41">
        <w:rPr>
          <w:rFonts w:cs="Arial"/>
          <w:b/>
        </w:rPr>
        <w:t>Hrvatske narodne banke</w:t>
      </w:r>
      <w:r w:rsidRPr="00A93C41">
        <w:rPr>
          <w:rFonts w:cs="Arial"/>
        </w:rPr>
        <w:t xml:space="preserve"> za 2023., na temelju odredbi Zakona o Državnom uredu za reviziju.</w:t>
      </w:r>
    </w:p>
    <w:p w14:paraId="334AB218" w14:textId="77777777" w:rsidR="00585DA9" w:rsidRPr="00A93C41" w:rsidRDefault="00585DA9" w:rsidP="000E1FD8">
      <w:pPr>
        <w:tabs>
          <w:tab w:val="left" w:pos="567"/>
        </w:tabs>
        <w:rPr>
          <w:rFonts w:cs="Arial"/>
        </w:rPr>
      </w:pPr>
    </w:p>
    <w:p w14:paraId="4C1382E5" w14:textId="22DD93F7" w:rsidR="000E1FD8" w:rsidRPr="00A93C41" w:rsidRDefault="000E1FD8" w:rsidP="000E1FD8">
      <w:pPr>
        <w:tabs>
          <w:tab w:val="left" w:pos="567"/>
        </w:tabs>
        <w:rPr>
          <w:rFonts w:cs="Arial"/>
        </w:rPr>
      </w:pPr>
      <w:r w:rsidRPr="00A93C41">
        <w:rPr>
          <w:rFonts w:cs="Arial"/>
        </w:rPr>
        <w:t xml:space="preserve"> </w:t>
      </w:r>
      <w:r w:rsidRPr="00A93C41">
        <w:rPr>
          <w:rFonts w:cs="Arial"/>
        </w:rPr>
        <w:tab/>
        <w:t>Prema odredbama Zakona o Državnom uredu za reviziju, Ured je nadležan za:</w:t>
      </w:r>
    </w:p>
    <w:p w14:paraId="239166D5" w14:textId="77777777" w:rsidR="000E1FD8" w:rsidRPr="00A93C41" w:rsidRDefault="000E1FD8" w:rsidP="000E1FD8">
      <w:pPr>
        <w:tabs>
          <w:tab w:val="left" w:pos="567"/>
        </w:tabs>
        <w:ind w:left="564" w:hanging="564"/>
        <w:rPr>
          <w:rFonts w:cs="Arial"/>
        </w:rPr>
      </w:pPr>
      <w:r w:rsidRPr="00A93C41">
        <w:rPr>
          <w:rFonts w:cs="Arial"/>
        </w:rPr>
        <w:t xml:space="preserve">– </w:t>
      </w:r>
      <w:r w:rsidRPr="00A93C41">
        <w:rPr>
          <w:rFonts w:cs="Arial"/>
        </w:rPr>
        <w:tab/>
        <w:t>postupak ocjenjivanja jesu li aktivnosti, financijske transakcije i informacije koje se odnose na troškove poslovanja u dijelu administrativnog poslovanja, stjecanja, upravljanja i raspolaganja nekretninama, pokretninama i opremom u svakom bitnom pogledu u skladu s mjerodavnim propisima prema kojima posluje HNB i</w:t>
      </w:r>
    </w:p>
    <w:p w14:paraId="1C22B27A" w14:textId="77777777" w:rsidR="000E1FD8" w:rsidRPr="00A93C41" w:rsidRDefault="000E1FD8" w:rsidP="000E1FD8">
      <w:pPr>
        <w:tabs>
          <w:tab w:val="left" w:pos="567"/>
        </w:tabs>
        <w:ind w:left="564" w:hanging="564"/>
        <w:rPr>
          <w:rFonts w:cs="Arial"/>
        </w:rPr>
      </w:pPr>
      <w:r w:rsidRPr="00A93C41">
        <w:rPr>
          <w:rFonts w:cs="Arial"/>
        </w:rPr>
        <w:t xml:space="preserve">– </w:t>
      </w:r>
      <w:r w:rsidRPr="00A93C41">
        <w:rPr>
          <w:rFonts w:cs="Arial"/>
        </w:rPr>
        <w:tab/>
        <w:t>postupak ocjenjivanja ostvaruju li se programi, projekti i aktivnosti HNB-a u dijelu administrativnog poslovanja, stjecanja, upravljanja i raspolaganja nekretninama, pokretninama i opremom učinkovito, odnosno prema načelima ekonomičnosti, djelotvornosti i svrsishodnosti i mogu li se poboljšati.</w:t>
      </w:r>
    </w:p>
    <w:p w14:paraId="7A25B587" w14:textId="77777777" w:rsidR="000E1FD8" w:rsidRPr="00A93C41" w:rsidRDefault="000E1FD8" w:rsidP="000E1FD8">
      <w:pPr>
        <w:tabs>
          <w:tab w:val="left" w:pos="567"/>
        </w:tabs>
        <w:rPr>
          <w:rFonts w:cs="Arial"/>
        </w:rPr>
      </w:pPr>
    </w:p>
    <w:p w14:paraId="13B1F9A0" w14:textId="6A777DFB" w:rsidR="000E1FD8" w:rsidRPr="00A93C41" w:rsidRDefault="000E1FD8" w:rsidP="000E1FD8">
      <w:pPr>
        <w:tabs>
          <w:tab w:val="left" w:pos="567"/>
        </w:tabs>
        <w:rPr>
          <w:rFonts w:cs="Arial"/>
        </w:rPr>
      </w:pPr>
      <w:r w:rsidRPr="00A93C41">
        <w:rPr>
          <w:rFonts w:cs="Arial"/>
        </w:rPr>
        <w:tab/>
        <w:t xml:space="preserve">Ured nije nadležan za provjeru i ocjenu korištenja sredstava HNB-a kojima se neposredno ostvaruju ciljevi i izvršavaju zadaci propisani zakonom kojim se uređuje poslovanje HNB-a, zadaci propisani drugim zakonima, kao i zadaci koje HNB obavlja u skladu s Ugovorom o funkcioniranju Europske unije i Statutom Europskog sustava središnjih banaka i Europske središnje banke. Također, Ured nije nadležan ni za aktivnosti koje su predmet revizije poslovanja HNB-a od strane neovisnog vanjskog revizora. </w:t>
      </w:r>
    </w:p>
    <w:p w14:paraId="2DC23316" w14:textId="77777777" w:rsidR="000E1FD8" w:rsidRPr="00A93C41" w:rsidRDefault="000E1FD8" w:rsidP="000E1FD8">
      <w:pPr>
        <w:tabs>
          <w:tab w:val="left" w:pos="567"/>
        </w:tabs>
        <w:rPr>
          <w:rFonts w:cs="Arial"/>
        </w:rPr>
      </w:pPr>
    </w:p>
    <w:p w14:paraId="0E2EA32B" w14:textId="29695297" w:rsidR="000E1FD8" w:rsidRPr="00A93C41" w:rsidRDefault="000E1FD8" w:rsidP="000E1FD8">
      <w:pPr>
        <w:tabs>
          <w:tab w:val="left" w:pos="567"/>
        </w:tabs>
        <w:rPr>
          <w:rFonts w:cs="Arial"/>
        </w:rPr>
      </w:pPr>
      <w:r w:rsidRPr="00A93C41">
        <w:rPr>
          <w:rFonts w:cs="Arial"/>
        </w:rPr>
        <w:tab/>
      </w:r>
      <w:r w:rsidRPr="00A93C41">
        <w:rPr>
          <w:rFonts w:cs="Arial"/>
          <w:b/>
        </w:rPr>
        <w:t xml:space="preserve">Cilj </w:t>
      </w:r>
      <w:r w:rsidR="00316343" w:rsidRPr="00A93C41">
        <w:rPr>
          <w:rFonts w:cs="Arial"/>
          <w:b/>
        </w:rPr>
        <w:t xml:space="preserve">ove </w:t>
      </w:r>
      <w:r w:rsidRPr="00A93C41">
        <w:rPr>
          <w:rFonts w:cs="Arial"/>
          <w:b/>
        </w:rPr>
        <w:t>revizije</w:t>
      </w:r>
      <w:r w:rsidRPr="00A93C41">
        <w:rPr>
          <w:rFonts w:cs="Arial"/>
        </w:rPr>
        <w:t xml:space="preserve"> bio je izražavanje mišljenja je li poslovanje usklađeno sa zakonima, drugim propisima i unutarnjim aktima.</w:t>
      </w:r>
    </w:p>
    <w:p w14:paraId="2E3669BC" w14:textId="77777777" w:rsidR="000E1FD8" w:rsidRPr="00A93C41" w:rsidRDefault="000E1FD8" w:rsidP="000E1FD8">
      <w:pPr>
        <w:tabs>
          <w:tab w:val="left" w:pos="567"/>
        </w:tabs>
        <w:rPr>
          <w:rFonts w:cs="Arial"/>
        </w:rPr>
      </w:pPr>
    </w:p>
    <w:p w14:paraId="78832537" w14:textId="5F8217DF" w:rsidR="000E1FD8" w:rsidRPr="00A93C41" w:rsidRDefault="000E1FD8" w:rsidP="000E1FD8">
      <w:pPr>
        <w:tabs>
          <w:tab w:val="left" w:pos="567"/>
        </w:tabs>
        <w:rPr>
          <w:rFonts w:cs="Arial"/>
        </w:rPr>
      </w:pPr>
      <w:r w:rsidRPr="00A93C41">
        <w:rPr>
          <w:rFonts w:cs="Arial"/>
        </w:rPr>
        <w:tab/>
        <w:t>Revizijskim postupcima provjereno je jesu li troškovi poslovanja u dijelu administrativno</w:t>
      </w:r>
      <w:r w:rsidR="0061190F" w:rsidRPr="00A93C41">
        <w:rPr>
          <w:rFonts w:cs="Arial"/>
        </w:rPr>
        <w:t xml:space="preserve">g poslovanja izvršeni u skladu </w:t>
      </w:r>
      <w:r w:rsidRPr="00A93C41">
        <w:rPr>
          <w:rFonts w:cs="Arial"/>
        </w:rPr>
        <w:t xml:space="preserve">s mjerodavnim propisima koji uređuju poslovanje HNB-a, je li stjecanje, upravljanje i raspolaganje nekretninama, pokretninama i opremom u skladu s mjerodavnim propisima koji uređuju poslovanje HNB-a te jesu li provedeni nalozi i preporuke iz prošle revizije. </w:t>
      </w:r>
    </w:p>
    <w:p w14:paraId="5A37999A" w14:textId="77777777" w:rsidR="000E1FD8" w:rsidRPr="00A93C41" w:rsidRDefault="000E1FD8" w:rsidP="000E1FD8">
      <w:pPr>
        <w:tabs>
          <w:tab w:val="left" w:pos="567"/>
        </w:tabs>
        <w:rPr>
          <w:rFonts w:cs="Arial"/>
        </w:rPr>
      </w:pPr>
    </w:p>
    <w:p w14:paraId="220C9512" w14:textId="2E765885" w:rsidR="000E1FD8" w:rsidRPr="00A93C41" w:rsidRDefault="000E1FD8" w:rsidP="000E1FD8">
      <w:pPr>
        <w:tabs>
          <w:tab w:val="left" w:pos="567"/>
        </w:tabs>
        <w:rPr>
          <w:rFonts w:cs="Arial"/>
        </w:rPr>
      </w:pPr>
      <w:r w:rsidRPr="00A93C41">
        <w:rPr>
          <w:rFonts w:cs="Arial"/>
        </w:rPr>
        <w:tab/>
        <w:t>Revizijom su obuhvaćena sljedeća područja: djelokrug i unutarnje ustrojstvo, unutarnje kontrole, planiranje, financijsko izvještavanje, javna nabava, troškovi za zaposlenike, administrativni troškovi i usluge te upravljanje i raspolaganje dugotrajnom materijalnom imovinom.</w:t>
      </w:r>
    </w:p>
    <w:p w14:paraId="57BF8B22" w14:textId="77777777" w:rsidR="000E1FD8" w:rsidRPr="00A93C41" w:rsidRDefault="000E1FD8" w:rsidP="000E1FD8">
      <w:pPr>
        <w:tabs>
          <w:tab w:val="left" w:pos="567"/>
        </w:tabs>
        <w:rPr>
          <w:rFonts w:cs="Arial"/>
        </w:rPr>
      </w:pPr>
    </w:p>
    <w:p w14:paraId="6A498F03" w14:textId="0D2EB299" w:rsidR="000E1FD8" w:rsidRPr="00A93C41" w:rsidRDefault="000E1FD8" w:rsidP="000E1FD8">
      <w:pPr>
        <w:tabs>
          <w:tab w:val="left" w:pos="567"/>
        </w:tabs>
        <w:rPr>
          <w:rFonts w:cs="Arial"/>
          <w:b/>
        </w:rPr>
      </w:pPr>
      <w:r w:rsidRPr="00A93C41">
        <w:rPr>
          <w:rFonts w:cs="Arial"/>
        </w:rPr>
        <w:tab/>
        <w:t xml:space="preserve">Nakon provedenih revizijskih postupaka izraženo je </w:t>
      </w:r>
      <w:r w:rsidRPr="00A93C41">
        <w:rPr>
          <w:rFonts w:cs="Arial"/>
          <w:b/>
        </w:rPr>
        <w:t>bezuvjetno mišljenje o usklađenosti poslovanja.</w:t>
      </w:r>
    </w:p>
    <w:p w14:paraId="23004301" w14:textId="77777777" w:rsidR="000E1FD8" w:rsidRPr="00A93C41" w:rsidRDefault="000E1FD8" w:rsidP="000E1FD8">
      <w:pPr>
        <w:tabs>
          <w:tab w:val="left" w:pos="567"/>
        </w:tabs>
        <w:rPr>
          <w:rFonts w:cs="Arial"/>
        </w:rPr>
      </w:pPr>
    </w:p>
    <w:p w14:paraId="2072582E" w14:textId="466D9774" w:rsidR="000E1FD8" w:rsidRPr="00A93C41" w:rsidRDefault="000E1FD8" w:rsidP="000E1FD8">
      <w:pPr>
        <w:tabs>
          <w:tab w:val="left" w:pos="567"/>
        </w:tabs>
        <w:rPr>
          <w:rFonts w:cs="Arial"/>
        </w:rPr>
      </w:pPr>
      <w:r w:rsidRPr="00A93C41">
        <w:rPr>
          <w:rFonts w:cs="Arial"/>
        </w:rPr>
        <w:tab/>
        <w:t xml:space="preserve">Revizijom su utvrđeni </w:t>
      </w:r>
      <w:r w:rsidR="00EA3547" w:rsidRPr="00A93C41">
        <w:rPr>
          <w:rFonts w:cs="Arial"/>
        </w:rPr>
        <w:t>propusti</w:t>
      </w:r>
      <w:r w:rsidRPr="00A93C41">
        <w:rPr>
          <w:rFonts w:cs="Arial"/>
        </w:rPr>
        <w:t xml:space="preserve"> koji nemaju značajan utjecaj na poslovanje te je dano </w:t>
      </w:r>
      <w:r w:rsidRPr="00A93C41">
        <w:rPr>
          <w:rFonts w:cs="Arial"/>
          <w:b/>
        </w:rPr>
        <w:t>deset preporuka</w:t>
      </w:r>
      <w:r w:rsidRPr="00A93C41">
        <w:rPr>
          <w:rFonts w:cs="Arial"/>
        </w:rPr>
        <w:t>, čija bi provedba pridonijela većoj usklađenosti poslovanja sa zakonom i unutarnjim aktima HNB-a.</w:t>
      </w:r>
    </w:p>
    <w:p w14:paraId="3683E408" w14:textId="3A25131D" w:rsidR="00072491" w:rsidRPr="00A93C41" w:rsidRDefault="00072491" w:rsidP="000E1FD8">
      <w:pPr>
        <w:tabs>
          <w:tab w:val="left" w:pos="567"/>
        </w:tabs>
        <w:rPr>
          <w:rFonts w:cs="Arial"/>
        </w:rPr>
      </w:pPr>
    </w:p>
    <w:p w14:paraId="05E1B10F" w14:textId="539F1A16" w:rsidR="00161B45" w:rsidRPr="00A93C41" w:rsidRDefault="00161B45" w:rsidP="00161B45">
      <w:pPr>
        <w:rPr>
          <w:rFonts w:cs="Arial"/>
          <w:b/>
        </w:rPr>
      </w:pPr>
    </w:p>
    <w:p w14:paraId="761D453D" w14:textId="4284B3AF" w:rsidR="00161B45" w:rsidRPr="00A93C41" w:rsidRDefault="0015358D" w:rsidP="0015358D">
      <w:pPr>
        <w:tabs>
          <w:tab w:val="left" w:pos="567"/>
        </w:tabs>
        <w:rPr>
          <w:rFonts w:cs="Arial"/>
          <w:b/>
        </w:rPr>
      </w:pPr>
      <w:r w:rsidRPr="00A93C41">
        <w:rPr>
          <w:rFonts w:cs="Arial"/>
          <w:b/>
        </w:rPr>
        <w:t>–</w:t>
      </w:r>
      <w:r w:rsidRPr="00A93C41">
        <w:rPr>
          <w:rFonts w:cs="Arial"/>
          <w:b/>
        </w:rPr>
        <w:tab/>
      </w:r>
      <w:r w:rsidR="00161B45" w:rsidRPr="00A93C41">
        <w:rPr>
          <w:rFonts w:cs="Arial"/>
          <w:b/>
        </w:rPr>
        <w:t xml:space="preserve">TRGOVAČKA DRUŠTVA U </w:t>
      </w:r>
      <w:r w:rsidR="00E50E07" w:rsidRPr="00A93C41">
        <w:rPr>
          <w:rFonts w:cs="Arial"/>
          <w:b/>
        </w:rPr>
        <w:t>VLASNIŠTVU JLP(R)S</w:t>
      </w:r>
    </w:p>
    <w:p w14:paraId="42F53E98" w14:textId="77777777" w:rsidR="00161B45" w:rsidRPr="00A93C41" w:rsidRDefault="00161B45" w:rsidP="00161B45">
      <w:pPr>
        <w:rPr>
          <w:rFonts w:cs="Arial"/>
          <w:b/>
        </w:rPr>
      </w:pPr>
    </w:p>
    <w:p w14:paraId="2CE72906" w14:textId="353C39DB" w:rsidR="00244BDE" w:rsidRPr="00A93C41" w:rsidRDefault="00B75595"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rPr>
      </w:pPr>
      <w:r w:rsidRPr="00A93C41">
        <w:rPr>
          <w:rFonts w:eastAsia="Calibri" w:cs="Arial"/>
        </w:rPr>
        <w:tab/>
      </w:r>
      <w:r w:rsidR="00585DA9" w:rsidRPr="00A93C41">
        <w:rPr>
          <w:rFonts w:eastAsia="Calibri" w:cs="Arial"/>
        </w:rPr>
        <w:t>Obavljena je revizija</w:t>
      </w:r>
      <w:r w:rsidR="00E50E07" w:rsidRPr="00A93C41">
        <w:rPr>
          <w:rFonts w:eastAsia="Calibri" w:cs="Arial"/>
        </w:rPr>
        <w:t xml:space="preserve"> </w:t>
      </w:r>
      <w:r w:rsidR="00244BDE" w:rsidRPr="00A93C41">
        <w:rPr>
          <w:rFonts w:eastAsia="Calibri" w:cs="Arial"/>
        </w:rPr>
        <w:t>usklađenosti dva trgovačka dru</w:t>
      </w:r>
      <w:r w:rsidR="00585DA9" w:rsidRPr="00A93C41">
        <w:rPr>
          <w:rFonts w:eastAsia="Calibri" w:cs="Arial"/>
        </w:rPr>
        <w:t>štva u vlasništvu Grada Zagreba –</w:t>
      </w:r>
      <w:r w:rsidR="00244BDE" w:rsidRPr="00A93C41">
        <w:rPr>
          <w:rFonts w:eastAsia="Calibri" w:cs="Arial"/>
        </w:rPr>
        <w:t xml:space="preserve"> </w:t>
      </w:r>
      <w:r w:rsidR="00A6366D" w:rsidRPr="00A93C41">
        <w:rPr>
          <w:rFonts w:eastAsia="Calibri" w:cs="Arial"/>
        </w:rPr>
        <w:t xml:space="preserve">Zagrebačkog </w:t>
      </w:r>
      <w:r w:rsidR="00244BDE" w:rsidRPr="00A93C41">
        <w:rPr>
          <w:rFonts w:eastAsia="Calibri" w:cs="Arial"/>
        </w:rPr>
        <w:t>električn</w:t>
      </w:r>
      <w:r w:rsidR="00A6366D" w:rsidRPr="00A93C41">
        <w:rPr>
          <w:rFonts w:eastAsia="Calibri" w:cs="Arial"/>
        </w:rPr>
        <w:t>og</w:t>
      </w:r>
      <w:r w:rsidR="00244BDE" w:rsidRPr="00A93C41">
        <w:rPr>
          <w:rFonts w:eastAsia="Calibri" w:cs="Arial"/>
        </w:rPr>
        <w:t xml:space="preserve"> tramvaj</w:t>
      </w:r>
      <w:r w:rsidR="00A6366D" w:rsidRPr="00A93C41">
        <w:rPr>
          <w:rFonts w:eastAsia="Calibri" w:cs="Arial"/>
        </w:rPr>
        <w:t>a</w:t>
      </w:r>
      <w:r w:rsidR="00244BDE" w:rsidRPr="00A93C41">
        <w:rPr>
          <w:rFonts w:eastAsia="Calibri" w:cs="Arial"/>
        </w:rPr>
        <w:t xml:space="preserve"> d.o.o. i Zagrebačk</w:t>
      </w:r>
      <w:r w:rsidR="00A6366D" w:rsidRPr="00A93C41">
        <w:rPr>
          <w:rFonts w:eastAsia="Calibri" w:cs="Arial"/>
        </w:rPr>
        <w:t>og velesaj</w:t>
      </w:r>
      <w:r w:rsidR="00244BDE" w:rsidRPr="00A93C41">
        <w:rPr>
          <w:rFonts w:eastAsia="Calibri" w:cs="Arial"/>
        </w:rPr>
        <w:t>m</w:t>
      </w:r>
      <w:r w:rsidR="00A6366D" w:rsidRPr="00A93C41">
        <w:rPr>
          <w:rFonts w:eastAsia="Calibri" w:cs="Arial"/>
        </w:rPr>
        <w:t>a</w:t>
      </w:r>
      <w:r w:rsidR="00244BDE" w:rsidRPr="00A93C41">
        <w:rPr>
          <w:rFonts w:eastAsia="Calibri" w:cs="Arial"/>
        </w:rPr>
        <w:t xml:space="preserve"> d.o.o.</w:t>
      </w:r>
      <w:r w:rsidR="00585DA9" w:rsidRPr="00A93C41">
        <w:rPr>
          <w:rFonts w:eastAsia="Calibri" w:cs="Arial"/>
        </w:rPr>
        <w:t>, kojom je</w:t>
      </w:r>
      <w:r w:rsidR="00244BDE" w:rsidRPr="00A93C41">
        <w:rPr>
          <w:rFonts w:eastAsia="Calibri" w:cs="Arial"/>
        </w:rPr>
        <w:t xml:space="preserve"> </w:t>
      </w:r>
      <w:r w:rsidR="00585DA9" w:rsidRPr="00A93C41">
        <w:rPr>
          <w:rFonts w:eastAsia="Calibri" w:cs="Arial"/>
        </w:rPr>
        <w:t xml:space="preserve">obuhvaćeno </w:t>
      </w:r>
      <w:r w:rsidRPr="00A93C41">
        <w:rPr>
          <w:rFonts w:eastAsia="Calibri" w:cs="Arial"/>
        </w:rPr>
        <w:t xml:space="preserve">poslovanje </w:t>
      </w:r>
      <w:r w:rsidR="00244BDE" w:rsidRPr="00A93C41">
        <w:rPr>
          <w:rFonts w:eastAsia="Calibri" w:cs="Arial"/>
        </w:rPr>
        <w:t xml:space="preserve">za 2023. </w:t>
      </w:r>
    </w:p>
    <w:p w14:paraId="3B1DA339" w14:textId="3E2536A6" w:rsidR="00244BDE" w:rsidRPr="00A93C41" w:rsidRDefault="00A6366D"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rPr>
      </w:pPr>
      <w:r w:rsidRPr="00A93C41">
        <w:rPr>
          <w:rFonts w:eastAsia="Calibri" w:cs="Arial"/>
          <w:b/>
        </w:rPr>
        <w:tab/>
        <w:t xml:space="preserve">Cilj revizije </w:t>
      </w:r>
      <w:r w:rsidRPr="00A93C41">
        <w:rPr>
          <w:rFonts w:eastAsia="Calibri" w:cs="Arial"/>
        </w:rPr>
        <w:t>bio je izražava</w:t>
      </w:r>
      <w:r w:rsidR="002104D5" w:rsidRPr="00A93C41">
        <w:rPr>
          <w:rFonts w:eastAsia="Calibri" w:cs="Arial"/>
        </w:rPr>
        <w:t>nje mišljenja je li poslovanje d</w:t>
      </w:r>
      <w:r w:rsidRPr="00A93C41">
        <w:rPr>
          <w:rFonts w:eastAsia="Calibri" w:cs="Arial"/>
        </w:rPr>
        <w:t>ruštava usklađeno sa zakonima, drugim propisima te unutarnjim aktima.</w:t>
      </w:r>
    </w:p>
    <w:p w14:paraId="4ABA8E09" w14:textId="77777777" w:rsidR="00A6366D" w:rsidRPr="00A93C41" w:rsidRDefault="00A6366D"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rPr>
      </w:pPr>
    </w:p>
    <w:p w14:paraId="7B0B8597" w14:textId="3B5B19AD" w:rsidR="00244BDE" w:rsidRPr="00A93C41" w:rsidRDefault="00244BDE"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b/>
        </w:rPr>
      </w:pPr>
      <w:r w:rsidRPr="00A93C41">
        <w:rPr>
          <w:rFonts w:eastAsia="Calibri" w:cs="Arial"/>
          <w:b/>
        </w:rPr>
        <w:lastRenderedPageBreak/>
        <w:tab/>
        <w:t xml:space="preserve">O usklađenosti poslovanja </w:t>
      </w:r>
      <w:r w:rsidR="00A6366D" w:rsidRPr="00A93C41">
        <w:rPr>
          <w:rFonts w:eastAsia="Calibri" w:cs="Arial"/>
          <w:b/>
        </w:rPr>
        <w:t xml:space="preserve">oba društva </w:t>
      </w:r>
      <w:r w:rsidRPr="00A93C41">
        <w:rPr>
          <w:rFonts w:eastAsia="Calibri" w:cs="Arial"/>
          <w:b/>
        </w:rPr>
        <w:t>izražena su uvjetna mišljenja.</w:t>
      </w:r>
    </w:p>
    <w:p w14:paraId="30F4C908" w14:textId="77777777" w:rsidR="008D2482" w:rsidRPr="00A93C41" w:rsidRDefault="008D2482"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b/>
        </w:rPr>
      </w:pPr>
    </w:p>
    <w:p w14:paraId="38BF823B" w14:textId="7CCFD4FA" w:rsidR="00244BDE" w:rsidRPr="00A93C41" w:rsidRDefault="00244BDE" w:rsidP="00244BDE">
      <w:pPr>
        <w:widowControl/>
        <w:ind w:firstLine="567"/>
        <w:contextualSpacing/>
        <w:rPr>
          <w:rFonts w:eastAsia="Calibri" w:cs="Arial"/>
          <w:lang w:eastAsia="en-US"/>
        </w:rPr>
      </w:pPr>
      <w:r w:rsidRPr="00A93C41">
        <w:rPr>
          <w:rFonts w:eastAsia="Calibri" w:cs="Arial"/>
          <w:lang w:eastAsia="en-US"/>
        </w:rPr>
        <w:t>Najznačajnije nepravilnosti koje su utjecale na izražavanje uvjetnog mišljenja odnosile su se na sljedeće:</w:t>
      </w:r>
    </w:p>
    <w:p w14:paraId="25F3E32F" w14:textId="014FF09E" w:rsidR="00244BDE" w:rsidRPr="00A93C41" w:rsidRDefault="00244BDE" w:rsidP="00244BDE">
      <w:pPr>
        <w:tabs>
          <w:tab w:val="left" w:pos="567"/>
          <w:tab w:val="left" w:pos="1134"/>
          <w:tab w:val="left" w:pos="1843"/>
        </w:tabs>
        <w:ind w:left="1128" w:hanging="1128"/>
        <w:rPr>
          <w:rFonts w:eastAsia="Calibri" w:cs="Arial"/>
          <w:lang w:eastAsia="en-US"/>
        </w:rPr>
      </w:pPr>
      <w:r w:rsidRPr="00A93C41">
        <w:rPr>
          <w:rFonts w:ascii="Bookman Old Style" w:hAnsi="Bookman Old Style" w:cs="Arial"/>
        </w:rPr>
        <w:tab/>
      </w:r>
      <w:r w:rsidRPr="00A93C41">
        <w:rPr>
          <w:rFonts w:eastAsia="Calibri" w:cs="Arial"/>
          <w:lang w:eastAsia="en-US"/>
        </w:rPr>
        <w:t>–</w:t>
      </w:r>
      <w:r w:rsidRPr="00A93C41">
        <w:rPr>
          <w:rFonts w:eastAsia="Calibri" w:cs="Arial"/>
          <w:lang w:eastAsia="en-US"/>
        </w:rPr>
        <w:tab/>
      </w:r>
      <w:r w:rsidR="00A6366D" w:rsidRPr="00A93C41">
        <w:rPr>
          <w:rFonts w:eastAsia="Calibri" w:cs="Arial"/>
          <w:lang w:eastAsia="en-US"/>
        </w:rPr>
        <w:t>n</w:t>
      </w:r>
      <w:r w:rsidRPr="00A93C41">
        <w:rPr>
          <w:rFonts w:eastAsia="Calibri" w:cs="Arial"/>
          <w:lang w:eastAsia="en-US"/>
        </w:rPr>
        <w:t>isu utvrđeni rizici i uspostavljen registar rizika</w:t>
      </w:r>
    </w:p>
    <w:p w14:paraId="185F3C12" w14:textId="13326868" w:rsidR="00244BDE" w:rsidRPr="00A93C41" w:rsidRDefault="00244BDE" w:rsidP="00244BDE">
      <w:pPr>
        <w:tabs>
          <w:tab w:val="left" w:pos="567"/>
          <w:tab w:val="left" w:pos="1134"/>
          <w:tab w:val="left" w:pos="1843"/>
        </w:tabs>
        <w:ind w:left="1128" w:hanging="1128"/>
        <w:rPr>
          <w:rFonts w:eastAsia="Calibri" w:cs="Arial"/>
          <w:lang w:eastAsia="en-US"/>
        </w:rPr>
      </w:pPr>
      <w:r w:rsidRPr="00A93C41">
        <w:rPr>
          <w:rFonts w:eastAsia="Calibri" w:cs="Arial"/>
          <w:lang w:eastAsia="en-US"/>
        </w:rPr>
        <w:tab/>
        <w:t>–</w:t>
      </w:r>
      <w:r w:rsidRPr="00A93C41">
        <w:rPr>
          <w:rFonts w:eastAsia="Calibri" w:cs="Arial"/>
          <w:lang w:eastAsia="en-US"/>
        </w:rPr>
        <w:tab/>
      </w:r>
      <w:r w:rsidR="00A6366D" w:rsidRPr="00A93C41">
        <w:rPr>
          <w:rFonts w:eastAsia="Calibri" w:cs="Arial"/>
          <w:lang w:eastAsia="en-US"/>
        </w:rPr>
        <w:t>p</w:t>
      </w:r>
      <w:r w:rsidRPr="00A93C41">
        <w:rPr>
          <w:rFonts w:eastAsia="Calibri" w:cs="Arial"/>
          <w:lang w:eastAsia="en-US"/>
        </w:rPr>
        <w:t>isane procedure kojima se uređuju poslovni procesi upravljanja projektima nisu utvrđene te nije donesen unutarnji akt o n</w:t>
      </w:r>
      <w:r w:rsidR="001A2A58" w:rsidRPr="00A93C41">
        <w:rPr>
          <w:rFonts w:eastAsia="Calibri" w:cs="Arial"/>
          <w:lang w:eastAsia="en-US"/>
        </w:rPr>
        <w:t>aplati potraživanja</w:t>
      </w:r>
    </w:p>
    <w:p w14:paraId="189048A5" w14:textId="0D79FF9A" w:rsidR="00244BDE" w:rsidRPr="00A93C41" w:rsidRDefault="00244BDE" w:rsidP="00244BDE">
      <w:pPr>
        <w:tabs>
          <w:tab w:val="left" w:pos="567"/>
          <w:tab w:val="left" w:pos="1134"/>
          <w:tab w:val="left" w:pos="1843"/>
        </w:tabs>
        <w:ind w:left="1128" w:hanging="1128"/>
        <w:rPr>
          <w:rFonts w:eastAsia="Calibri" w:cs="Arial"/>
          <w:lang w:eastAsia="en-US"/>
        </w:rPr>
      </w:pPr>
      <w:r w:rsidRPr="00A93C41">
        <w:rPr>
          <w:rFonts w:eastAsia="Calibri" w:cs="Arial"/>
          <w:lang w:eastAsia="en-US"/>
        </w:rPr>
        <w:tab/>
        <w:t>–</w:t>
      </w:r>
      <w:r w:rsidRPr="00A93C41">
        <w:rPr>
          <w:rFonts w:eastAsia="Calibri" w:cs="Arial"/>
          <w:lang w:eastAsia="en-US"/>
        </w:rPr>
        <w:tab/>
      </w:r>
      <w:r w:rsidR="00A6366D" w:rsidRPr="00A93C41">
        <w:rPr>
          <w:rFonts w:eastAsia="Calibri" w:cs="Arial"/>
          <w:lang w:eastAsia="en-US"/>
        </w:rPr>
        <w:t>n</w:t>
      </w:r>
      <w:r w:rsidRPr="00A93C41">
        <w:rPr>
          <w:rFonts w:eastAsia="Calibri" w:cs="Arial"/>
          <w:lang w:eastAsia="en-US"/>
        </w:rPr>
        <w:t>ije donesen strateški plan poslovanja niti su nekim drugim planskim dokumentom utvrđeni strateški ciljevi</w:t>
      </w:r>
    </w:p>
    <w:p w14:paraId="723FAE11" w14:textId="2E4301F4" w:rsidR="00244BDE" w:rsidRPr="00A93C41" w:rsidRDefault="00244BDE" w:rsidP="00244BDE">
      <w:pPr>
        <w:tabs>
          <w:tab w:val="left" w:pos="567"/>
          <w:tab w:val="left" w:pos="1134"/>
        </w:tabs>
        <w:ind w:left="1128" w:hanging="561"/>
        <w:rPr>
          <w:rFonts w:eastAsia="Calibri" w:cs="Arial"/>
          <w:lang w:eastAsia="en-US"/>
        </w:rPr>
      </w:pPr>
      <w:r w:rsidRPr="00A93C41">
        <w:rPr>
          <w:rFonts w:eastAsia="Calibri" w:cs="Arial"/>
          <w:lang w:eastAsia="en-US"/>
        </w:rPr>
        <w:t>–</w:t>
      </w:r>
      <w:r w:rsidRPr="00A93C41">
        <w:rPr>
          <w:rFonts w:eastAsia="Calibri" w:cs="Arial"/>
          <w:lang w:eastAsia="en-US"/>
        </w:rPr>
        <w:tab/>
      </w:r>
      <w:r w:rsidR="00A6366D" w:rsidRPr="00A93C41">
        <w:rPr>
          <w:rFonts w:eastAsia="Calibri" w:cs="Arial"/>
          <w:lang w:eastAsia="en-US"/>
        </w:rPr>
        <w:t>s</w:t>
      </w:r>
      <w:r w:rsidRPr="00A93C41">
        <w:rPr>
          <w:rFonts w:eastAsia="Calibri" w:cs="Arial"/>
          <w:lang w:eastAsia="en-US"/>
        </w:rPr>
        <w:t>trateški plan unutarnje revizije nije izrađen</w:t>
      </w:r>
      <w:r w:rsidR="00A6366D" w:rsidRPr="00A93C41">
        <w:rPr>
          <w:rFonts w:eastAsia="Calibri" w:cs="Arial"/>
          <w:lang w:eastAsia="en-US"/>
        </w:rPr>
        <w:t>;</w:t>
      </w:r>
      <w:r w:rsidRPr="00A93C41">
        <w:rPr>
          <w:rFonts w:eastAsia="Calibri" w:cs="Arial"/>
          <w:lang w:eastAsia="en-US"/>
        </w:rPr>
        <w:t xml:space="preserve"> odgovorne osobe revidiranih jedinica ne sastavljaju plan djelovanja koji treba sadržavati aktivnosti za provedbu preporuka, odgovorne osobe i rokove provedbe</w:t>
      </w:r>
      <w:r w:rsidR="00A6366D" w:rsidRPr="00A93C41">
        <w:rPr>
          <w:rFonts w:eastAsia="Calibri" w:cs="Arial"/>
          <w:lang w:eastAsia="en-US"/>
        </w:rPr>
        <w:t>;</w:t>
      </w:r>
      <w:r w:rsidRPr="00A93C41">
        <w:rPr>
          <w:rFonts w:eastAsia="Calibri" w:cs="Arial"/>
          <w:lang w:eastAsia="en-US"/>
        </w:rPr>
        <w:t xml:space="preserve"> unutarnji revizori ne prate provedbu preporuka i ne sastavljaju godišnje izvješće o provedbi danih preporuka</w:t>
      </w:r>
    </w:p>
    <w:p w14:paraId="1005B0FF" w14:textId="5A309A52" w:rsidR="00244BDE" w:rsidRPr="00A93C41" w:rsidRDefault="00244BDE" w:rsidP="00244BDE">
      <w:pPr>
        <w:tabs>
          <w:tab w:val="left" w:pos="567"/>
          <w:tab w:val="left" w:pos="1134"/>
        </w:tabs>
        <w:ind w:left="1128" w:hanging="561"/>
        <w:rPr>
          <w:rFonts w:eastAsia="Calibri" w:cs="Arial"/>
          <w:lang w:eastAsia="en-US"/>
        </w:rPr>
      </w:pPr>
      <w:r w:rsidRPr="00A93C41">
        <w:rPr>
          <w:rFonts w:eastAsia="Calibri" w:cs="Arial"/>
          <w:lang w:eastAsia="en-US"/>
        </w:rPr>
        <w:t>–</w:t>
      </w:r>
      <w:r w:rsidRPr="00A93C41">
        <w:rPr>
          <w:rFonts w:eastAsia="Calibri" w:cs="Arial"/>
          <w:lang w:eastAsia="en-US"/>
        </w:rPr>
        <w:tab/>
      </w:r>
      <w:r w:rsidR="00A6366D" w:rsidRPr="00A93C41">
        <w:rPr>
          <w:rFonts w:eastAsia="Calibri" w:cs="Arial"/>
          <w:lang w:eastAsia="en-US"/>
        </w:rPr>
        <w:t>u</w:t>
      </w:r>
      <w:r w:rsidRPr="00A93C41">
        <w:rPr>
          <w:rFonts w:eastAsia="Calibri" w:cs="Arial"/>
          <w:lang w:eastAsia="en-US"/>
        </w:rPr>
        <w:t xml:space="preserve"> Središnji registar državne imovine nisu uneseni podaci o pojavnim oblicima državne imovine kojom društvo upravlja, raspola</w:t>
      </w:r>
      <w:r w:rsidR="00E5764E" w:rsidRPr="00A93C41">
        <w:rPr>
          <w:rFonts w:eastAsia="Calibri" w:cs="Arial"/>
          <w:lang w:eastAsia="en-US"/>
        </w:rPr>
        <w:t>že ili mu je dana na korištenje</w:t>
      </w:r>
      <w:r w:rsidRPr="00A93C41">
        <w:rPr>
          <w:rFonts w:eastAsia="Calibri" w:cs="Arial"/>
          <w:lang w:eastAsia="en-US"/>
        </w:rPr>
        <w:t xml:space="preserve"> te nije imenovana odgovorna osoba za elektronički unos i ažuriranje podataka</w:t>
      </w:r>
    </w:p>
    <w:p w14:paraId="4563F2FD" w14:textId="5A6806F3" w:rsidR="00244BDE" w:rsidRPr="00A93C41" w:rsidRDefault="00A6366D" w:rsidP="00244BDE">
      <w:pPr>
        <w:tabs>
          <w:tab w:val="left" w:pos="567"/>
          <w:tab w:val="left" w:pos="1134"/>
        </w:tabs>
        <w:ind w:left="1134" w:hanging="567"/>
        <w:rPr>
          <w:rFonts w:eastAsia="Calibri" w:cs="Arial"/>
          <w:lang w:eastAsia="en-US"/>
        </w:rPr>
      </w:pPr>
      <w:r w:rsidRPr="00A93C41">
        <w:rPr>
          <w:rFonts w:eastAsia="Calibri" w:cs="Arial"/>
          <w:lang w:eastAsia="en-US"/>
        </w:rPr>
        <w:t>–</w:t>
      </w:r>
      <w:r w:rsidRPr="00A93C41">
        <w:rPr>
          <w:rFonts w:eastAsia="Calibri" w:cs="Arial"/>
          <w:lang w:eastAsia="en-US"/>
        </w:rPr>
        <w:tab/>
        <w:t>u</w:t>
      </w:r>
      <w:r w:rsidR="00244BDE" w:rsidRPr="00A93C41">
        <w:rPr>
          <w:rFonts w:eastAsia="Calibri" w:cs="Arial"/>
          <w:lang w:eastAsia="en-US"/>
        </w:rPr>
        <w:t>nutarnji akt koji sadrži opise radnih mjesta i potreban broj izvršitelja za svako pojedino radno mjesto nije donesen</w:t>
      </w:r>
      <w:r w:rsidRPr="00A93C41">
        <w:rPr>
          <w:rFonts w:eastAsia="Calibri" w:cs="Arial"/>
          <w:lang w:eastAsia="en-US"/>
        </w:rPr>
        <w:t>;</w:t>
      </w:r>
      <w:r w:rsidR="00244BDE" w:rsidRPr="00A93C41">
        <w:rPr>
          <w:rFonts w:eastAsia="Calibri" w:cs="Arial"/>
          <w:lang w:eastAsia="en-US"/>
        </w:rPr>
        <w:t xml:space="preserve"> nisu utvrđeni kriteriji za ocjenu rada i učinkovitosti zaposlenika te nije obavljano ocjenjivanje rada i učinkovitosti zaposlenika </w:t>
      </w:r>
    </w:p>
    <w:p w14:paraId="266DB146" w14:textId="11403702" w:rsidR="00244BDE" w:rsidRPr="00A93C41" w:rsidRDefault="00244BDE" w:rsidP="00244BDE">
      <w:pPr>
        <w:tabs>
          <w:tab w:val="left" w:pos="567"/>
          <w:tab w:val="left" w:pos="1134"/>
        </w:tabs>
        <w:ind w:left="1131" w:hanging="564"/>
        <w:rPr>
          <w:rFonts w:eastAsia="Calibri" w:cs="Arial"/>
          <w:lang w:eastAsia="en-US"/>
        </w:rPr>
      </w:pPr>
      <w:r w:rsidRPr="00A93C41">
        <w:rPr>
          <w:rFonts w:eastAsia="Calibri" w:cs="Arial"/>
          <w:lang w:eastAsia="en-US"/>
        </w:rPr>
        <w:t>–</w:t>
      </w:r>
      <w:r w:rsidRPr="00A93C41">
        <w:rPr>
          <w:rFonts w:eastAsia="Calibri" w:cs="Arial"/>
          <w:lang w:eastAsia="en-US"/>
        </w:rPr>
        <w:tab/>
      </w:r>
      <w:r w:rsidR="00A6366D" w:rsidRPr="00A93C41">
        <w:rPr>
          <w:rFonts w:eastAsia="Calibri" w:cs="Arial"/>
          <w:lang w:eastAsia="en-US"/>
        </w:rPr>
        <w:t>t</w:t>
      </w:r>
      <w:r w:rsidRPr="00A93C41">
        <w:rPr>
          <w:rFonts w:eastAsia="Calibri" w:cs="Arial"/>
          <w:lang w:eastAsia="en-US"/>
        </w:rPr>
        <w:t xml:space="preserve">ijekom 2023. više od 180 prekovremenih sati radilo je 200 zaposlenika </w:t>
      </w:r>
    </w:p>
    <w:p w14:paraId="59368A58" w14:textId="3A1DF5EE" w:rsidR="00244BDE" w:rsidRPr="00A93C41" w:rsidRDefault="00C10BFF" w:rsidP="00244BDE">
      <w:pPr>
        <w:tabs>
          <w:tab w:val="left" w:pos="567"/>
          <w:tab w:val="left" w:pos="1134"/>
        </w:tabs>
        <w:ind w:left="1131" w:hanging="564"/>
        <w:rPr>
          <w:rFonts w:eastAsia="Calibri" w:cs="Arial"/>
          <w:lang w:eastAsia="en-US"/>
        </w:rPr>
      </w:pPr>
      <w:r w:rsidRPr="00A93C41">
        <w:rPr>
          <w:rFonts w:eastAsia="Calibri" w:cs="Arial"/>
          <w:lang w:eastAsia="en-US"/>
        </w:rPr>
        <w:t>–</w:t>
      </w:r>
      <w:r w:rsidRPr="00A93C41">
        <w:rPr>
          <w:rFonts w:eastAsia="Calibri" w:cs="Arial"/>
          <w:lang w:eastAsia="en-US"/>
        </w:rPr>
        <w:tab/>
        <w:t>a</w:t>
      </w:r>
      <w:r w:rsidR="00244BDE" w:rsidRPr="00A93C41">
        <w:rPr>
          <w:rFonts w:eastAsia="Calibri" w:cs="Arial"/>
          <w:lang w:eastAsia="en-US"/>
        </w:rPr>
        <w:t xml:space="preserve">plikaciju integralnog informacijskog sustava izradio je i održava zaposlenik za kojeg nije osigurana zamjena u slučaju njegove odsutnosti, čime je društvo izloženo riziku kontinuiteta poslovanja </w:t>
      </w:r>
    </w:p>
    <w:p w14:paraId="1C66297D" w14:textId="159D26B7" w:rsidR="00244BDE" w:rsidRPr="00A93C41" w:rsidRDefault="00244BDE" w:rsidP="00244BDE">
      <w:pPr>
        <w:tabs>
          <w:tab w:val="left" w:pos="567"/>
          <w:tab w:val="left" w:pos="1134"/>
        </w:tabs>
        <w:ind w:left="1131" w:hanging="564"/>
        <w:rPr>
          <w:rFonts w:eastAsia="Calibri" w:cs="Arial"/>
          <w:lang w:eastAsia="en-US"/>
        </w:rPr>
      </w:pPr>
      <w:r w:rsidRPr="00A93C41">
        <w:rPr>
          <w:rFonts w:eastAsia="Calibri" w:cs="Arial"/>
          <w:lang w:eastAsia="en-US"/>
        </w:rPr>
        <w:t>–</w:t>
      </w:r>
      <w:r w:rsidRPr="00A93C41">
        <w:rPr>
          <w:rFonts w:eastAsia="Calibri" w:cs="Arial"/>
          <w:lang w:eastAsia="en-US"/>
        </w:rPr>
        <w:tab/>
      </w:r>
      <w:r w:rsidR="00A6366D" w:rsidRPr="00A93C41">
        <w:rPr>
          <w:rFonts w:eastAsia="Calibri" w:cs="Arial"/>
          <w:lang w:eastAsia="en-US"/>
        </w:rPr>
        <w:t>z</w:t>
      </w:r>
      <w:r w:rsidRPr="00A93C41">
        <w:rPr>
          <w:rFonts w:eastAsia="Calibri" w:cs="Arial"/>
          <w:lang w:eastAsia="en-US"/>
        </w:rPr>
        <w:t>a 2023. nije donesen P</w:t>
      </w:r>
      <w:r w:rsidR="00A6366D" w:rsidRPr="00A93C41">
        <w:rPr>
          <w:rFonts w:eastAsia="Calibri" w:cs="Arial"/>
          <w:lang w:eastAsia="en-US"/>
        </w:rPr>
        <w:t>lan obrazovanja i Plan troškova;</w:t>
      </w:r>
      <w:r w:rsidRPr="00A93C41">
        <w:rPr>
          <w:rFonts w:eastAsia="Calibri" w:cs="Arial"/>
          <w:lang w:eastAsia="en-US"/>
        </w:rPr>
        <w:t xml:space="preserve"> direktori službi nisu podnijeli zahtjeve za upućivanje zaposlenika na obrazovanje i stručno osposobljavanje te iz dokumentacije nije vidljivo na temelju kojih kriterija su odabrani zaposlenici upućeni na obrazovanje</w:t>
      </w:r>
      <w:r w:rsidR="00E5764E" w:rsidRPr="00A93C41">
        <w:rPr>
          <w:rFonts w:eastAsia="Calibri" w:cs="Arial"/>
          <w:lang w:eastAsia="en-US"/>
        </w:rPr>
        <w:t>.</w:t>
      </w:r>
    </w:p>
    <w:p w14:paraId="165259E2" w14:textId="77777777" w:rsidR="00244BDE" w:rsidRPr="00A93C41" w:rsidRDefault="00244BDE" w:rsidP="00244BDE">
      <w:pPr>
        <w:widowControl/>
        <w:ind w:firstLine="567"/>
        <w:contextualSpacing/>
        <w:rPr>
          <w:rFonts w:eastAsia="Calibri" w:cs="Arial"/>
          <w:lang w:eastAsia="en-US"/>
        </w:rPr>
      </w:pPr>
    </w:p>
    <w:p w14:paraId="704EF2CA" w14:textId="42DBAE3B" w:rsidR="00244BDE" w:rsidRPr="00A93C41" w:rsidRDefault="00244BDE" w:rsidP="00244BDE">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eastAsia="Calibri" w:cs="Arial"/>
        </w:rPr>
      </w:pPr>
      <w:r w:rsidRPr="00A93C41">
        <w:rPr>
          <w:rFonts w:eastAsia="Calibri" w:cs="Arial"/>
          <w:b/>
        </w:rPr>
        <w:tab/>
      </w:r>
      <w:r w:rsidRPr="00A93C41">
        <w:rPr>
          <w:rFonts w:eastAsia="Calibri" w:cs="Arial"/>
        </w:rPr>
        <w:t xml:space="preserve">Za utvrđene nepravilnosti i propuste </w:t>
      </w:r>
      <w:r w:rsidR="00497DAB" w:rsidRPr="00A93C41">
        <w:rPr>
          <w:rFonts w:eastAsia="Calibri" w:cs="Arial"/>
        </w:rPr>
        <w:t>Ured je dao</w:t>
      </w:r>
      <w:r w:rsidRPr="00A93C41">
        <w:rPr>
          <w:rFonts w:eastAsia="Calibri" w:cs="Arial"/>
        </w:rPr>
        <w:t xml:space="preserve"> ukupno</w:t>
      </w:r>
      <w:r w:rsidRPr="00A93C41">
        <w:rPr>
          <w:rFonts w:eastAsia="Calibri" w:cs="Arial"/>
          <w:b/>
        </w:rPr>
        <w:t xml:space="preserve"> 38 naloga i preporuka</w:t>
      </w:r>
      <w:r w:rsidRPr="00A93C41">
        <w:rPr>
          <w:rFonts w:eastAsia="Calibri" w:cs="Arial"/>
        </w:rPr>
        <w:t xml:space="preserve">, čija bi provedba pridonijela većoj usklađenosti poslovanja sa zakonima i unutarnjim aktima. </w:t>
      </w:r>
    </w:p>
    <w:p w14:paraId="1FC5185C" w14:textId="77777777" w:rsidR="00244BDE" w:rsidRPr="00A93C41" w:rsidRDefault="00244BDE" w:rsidP="00244BDE">
      <w:pPr>
        <w:widowControl/>
        <w:ind w:firstLine="567"/>
        <w:contextualSpacing/>
        <w:rPr>
          <w:rFonts w:eastAsia="Calibri" w:cs="Arial"/>
          <w:lang w:eastAsia="en-US"/>
        </w:rPr>
      </w:pPr>
    </w:p>
    <w:p w14:paraId="41714D6A" w14:textId="7B771787" w:rsidR="00244BDE" w:rsidRPr="00A93C41" w:rsidRDefault="00244BDE" w:rsidP="00244BDE">
      <w:pPr>
        <w:widowControl/>
        <w:ind w:firstLine="567"/>
        <w:contextualSpacing/>
        <w:rPr>
          <w:rFonts w:eastAsia="Calibri" w:cs="Arial"/>
          <w:lang w:eastAsia="en-US"/>
        </w:rPr>
      </w:pPr>
      <w:r w:rsidRPr="00A93C41">
        <w:rPr>
          <w:rFonts w:eastAsia="Calibri" w:cs="Arial"/>
          <w:lang w:eastAsia="en-US"/>
        </w:rPr>
        <w:t xml:space="preserve">Osim toga, utvrđeno je da je u prošlim revizijama ova dva trgovačka društva </w:t>
      </w:r>
      <w:r w:rsidR="001D2180" w:rsidRPr="00A93C41">
        <w:rPr>
          <w:rFonts w:eastAsia="Calibri" w:cs="Arial"/>
          <w:b/>
          <w:lang w:eastAsia="en-US"/>
        </w:rPr>
        <w:t xml:space="preserve">dano </w:t>
      </w:r>
      <w:r w:rsidRPr="00A93C41">
        <w:rPr>
          <w:rFonts w:eastAsia="Calibri" w:cs="Arial"/>
          <w:b/>
          <w:lang w:eastAsia="en-US"/>
        </w:rPr>
        <w:t>ukupno devet naloga i preporuka, od kojih je provedeno šest</w:t>
      </w:r>
      <w:r w:rsidRPr="00A93C41">
        <w:rPr>
          <w:rFonts w:eastAsia="Calibri" w:cs="Arial"/>
          <w:lang w:eastAsia="en-US"/>
        </w:rPr>
        <w:t xml:space="preserve"> ili 66,7 %, a </w:t>
      </w:r>
      <w:r w:rsidRPr="00A93C41">
        <w:rPr>
          <w:rFonts w:eastAsia="Calibri" w:cs="Arial"/>
          <w:b/>
          <w:lang w:eastAsia="en-US"/>
        </w:rPr>
        <w:t>nisu provedena tri</w:t>
      </w:r>
      <w:r w:rsidRPr="00A93C41">
        <w:rPr>
          <w:rFonts w:eastAsia="Calibri" w:cs="Arial"/>
          <w:lang w:eastAsia="en-US"/>
        </w:rPr>
        <w:t xml:space="preserve"> ili 33,3 %. </w:t>
      </w:r>
    </w:p>
    <w:p w14:paraId="61D4F36C" w14:textId="77777777" w:rsidR="00244BDE" w:rsidRPr="00A93C41" w:rsidRDefault="00244BDE" w:rsidP="008D328E">
      <w:pPr>
        <w:pBdr>
          <w:bottom w:val="single" w:sz="4" w:space="1" w:color="auto"/>
        </w:pBdr>
        <w:rPr>
          <w:rFonts w:cs="Arial"/>
          <w:b/>
        </w:rPr>
      </w:pPr>
    </w:p>
    <w:p w14:paraId="3BDCC888" w14:textId="2005CAE5" w:rsidR="008D328E" w:rsidRPr="00A93C41" w:rsidRDefault="008D328E" w:rsidP="00072491">
      <w:pPr>
        <w:rPr>
          <w:rFonts w:cs="Arial"/>
        </w:rPr>
      </w:pPr>
    </w:p>
    <w:p w14:paraId="19458398" w14:textId="77777777" w:rsidR="008D328E" w:rsidRPr="00A93C41" w:rsidRDefault="008D328E" w:rsidP="00EE3381">
      <w:pPr>
        <w:ind w:firstLine="567"/>
        <w:rPr>
          <w:rFonts w:cs="Arial"/>
        </w:rPr>
      </w:pPr>
    </w:p>
    <w:p w14:paraId="0987FF99" w14:textId="7FF12B05" w:rsidR="00693029" w:rsidRPr="00A93C41" w:rsidRDefault="000E0B66" w:rsidP="008D328E">
      <w:pPr>
        <w:shd w:val="clear" w:color="auto" w:fill="D9D9D9" w:themeFill="background1" w:themeFillShade="D9"/>
        <w:rPr>
          <w:rFonts w:cs="Arial"/>
          <w:b/>
        </w:rPr>
      </w:pPr>
      <w:r w:rsidRPr="00A93C41">
        <w:rPr>
          <w:rFonts w:cs="Arial"/>
          <w:b/>
        </w:rPr>
        <w:t>PROVJERA PROVEDBE NALOGA I PREPORUKA</w:t>
      </w:r>
      <w:r w:rsidR="00D636DC" w:rsidRPr="00A93C41">
        <w:rPr>
          <w:rFonts w:cs="Arial"/>
          <w:b/>
        </w:rPr>
        <w:t xml:space="preserve"> </w:t>
      </w:r>
    </w:p>
    <w:p w14:paraId="41655691" w14:textId="77777777" w:rsidR="002A7B80" w:rsidRPr="00A93C41" w:rsidRDefault="002A7B80" w:rsidP="00EE3381">
      <w:pPr>
        <w:ind w:firstLine="567"/>
        <w:rPr>
          <w:rFonts w:cs="Arial"/>
          <w:b/>
        </w:rPr>
      </w:pPr>
    </w:p>
    <w:p w14:paraId="5331DCE6" w14:textId="0B05166E" w:rsidR="001D0E91" w:rsidRPr="00A93C41" w:rsidRDefault="001D0E91" w:rsidP="001D0E91">
      <w:pPr>
        <w:tabs>
          <w:tab w:val="left" w:pos="284"/>
          <w:tab w:val="left" w:pos="567"/>
          <w:tab w:val="left" w:pos="851"/>
        </w:tabs>
        <w:rPr>
          <w:rFonts w:cs="Arial"/>
          <w:b/>
        </w:rPr>
      </w:pPr>
      <w:r w:rsidRPr="00A93C41">
        <w:rPr>
          <w:rFonts w:cs="Arial"/>
        </w:rPr>
        <w:tab/>
      </w:r>
      <w:r w:rsidR="00BA482E" w:rsidRPr="00A93C41">
        <w:rPr>
          <w:rFonts w:cs="Arial"/>
        </w:rPr>
        <w:tab/>
        <w:t>T</w:t>
      </w:r>
      <w:r w:rsidRPr="00A93C41">
        <w:rPr>
          <w:rFonts w:cs="Arial"/>
        </w:rPr>
        <w:t>ijekom 2024.</w:t>
      </w:r>
      <w:r w:rsidR="00BA482E" w:rsidRPr="00A93C41">
        <w:rPr>
          <w:rFonts w:cs="Arial"/>
        </w:rPr>
        <w:t xml:space="preserve">, osim provjere provedbe naloga i preporuka u okviru redovnih financijskih revizija i revizija usklađenosti, </w:t>
      </w:r>
      <w:r w:rsidRPr="00A93C41">
        <w:rPr>
          <w:rFonts w:cs="Arial"/>
        </w:rPr>
        <w:t>obavlj</w:t>
      </w:r>
      <w:r w:rsidR="00BA482E" w:rsidRPr="00A93C41">
        <w:rPr>
          <w:rFonts w:cs="Arial"/>
        </w:rPr>
        <w:t>ena je</w:t>
      </w:r>
      <w:r w:rsidR="00E8201B" w:rsidRPr="00A93C41">
        <w:rPr>
          <w:rFonts w:cs="Arial"/>
        </w:rPr>
        <w:t xml:space="preserve"> </w:t>
      </w:r>
      <w:r w:rsidR="00BA482E" w:rsidRPr="00A93C41">
        <w:rPr>
          <w:rFonts w:cs="Arial"/>
        </w:rPr>
        <w:t>i provjera provedbe naloga i preporuka</w:t>
      </w:r>
      <w:r w:rsidR="00E8201B" w:rsidRPr="00A93C41">
        <w:rPr>
          <w:rFonts w:cs="Arial"/>
        </w:rPr>
        <w:t xml:space="preserve"> </w:t>
      </w:r>
      <w:r w:rsidRPr="00A93C41">
        <w:rPr>
          <w:rFonts w:cs="Arial"/>
        </w:rPr>
        <w:t xml:space="preserve">danih u prošlim </w:t>
      </w:r>
      <w:r w:rsidRPr="00A93C41">
        <w:rPr>
          <w:rFonts w:cs="Arial"/>
          <w:b/>
        </w:rPr>
        <w:t>financijskim revizijama tri proračunska korisnika d</w:t>
      </w:r>
      <w:r w:rsidR="0061190F" w:rsidRPr="00A93C41">
        <w:rPr>
          <w:rFonts w:cs="Arial"/>
          <w:b/>
        </w:rPr>
        <w:t xml:space="preserve">ržavnog proračuna, 48 lokalnih </w:t>
      </w:r>
      <w:r w:rsidRPr="00A93C41">
        <w:rPr>
          <w:rFonts w:cs="Arial"/>
          <w:b/>
        </w:rPr>
        <w:t>jedinice i 18 trgovačkih društava u vlasništvu lokalnih jedinica</w:t>
      </w:r>
      <w:r w:rsidR="00E8201B" w:rsidRPr="00A93C41">
        <w:rPr>
          <w:rFonts w:cs="Arial"/>
        </w:rPr>
        <w:t xml:space="preserve"> u okviru zasebnog revizijskog postupka</w:t>
      </w:r>
      <w:r w:rsidRPr="00A93C41">
        <w:rPr>
          <w:rFonts w:cs="Arial"/>
          <w:b/>
        </w:rPr>
        <w:t xml:space="preserve">. </w:t>
      </w:r>
    </w:p>
    <w:p w14:paraId="3AF45599" w14:textId="1A417B09" w:rsidR="001D0E91" w:rsidRPr="00A93C41" w:rsidRDefault="001D0E91" w:rsidP="001D0E91">
      <w:pPr>
        <w:tabs>
          <w:tab w:val="left" w:pos="284"/>
          <w:tab w:val="left" w:pos="567"/>
          <w:tab w:val="left" w:pos="851"/>
        </w:tabs>
        <w:rPr>
          <w:rFonts w:cs="Arial"/>
        </w:rPr>
      </w:pPr>
      <w:r w:rsidRPr="00A93C41">
        <w:rPr>
          <w:rFonts w:cs="Arial"/>
          <w:b/>
        </w:rPr>
        <w:tab/>
      </w:r>
      <w:r w:rsidR="00BA482E" w:rsidRPr="00A93C41">
        <w:rPr>
          <w:rFonts w:cs="Arial"/>
          <w:b/>
        </w:rPr>
        <w:tab/>
      </w:r>
      <w:r w:rsidR="00836654" w:rsidRPr="00A93C41">
        <w:rPr>
          <w:rFonts w:cs="Arial"/>
        </w:rPr>
        <w:t xml:space="preserve">U financijskim revizijama ovih subjekata, koje su obavljene za 2019., 2020. i 2021., </w:t>
      </w:r>
      <w:r w:rsidRPr="00A93C41">
        <w:rPr>
          <w:rFonts w:cs="Arial"/>
        </w:rPr>
        <w:t>dano</w:t>
      </w:r>
      <w:r w:rsidR="00836654" w:rsidRPr="00A93C41">
        <w:rPr>
          <w:rFonts w:cs="Arial"/>
        </w:rPr>
        <w:t xml:space="preserve"> je</w:t>
      </w:r>
      <w:r w:rsidRPr="00A93C41">
        <w:rPr>
          <w:rFonts w:cs="Arial"/>
        </w:rPr>
        <w:t xml:space="preserve"> ukupno 1 113 naloga i preporuka</w:t>
      </w:r>
      <w:r w:rsidR="001977DD" w:rsidRPr="00A93C41">
        <w:rPr>
          <w:rFonts w:cs="Arial"/>
        </w:rPr>
        <w:t>.</w:t>
      </w:r>
    </w:p>
    <w:p w14:paraId="4A849397" w14:textId="77777777" w:rsidR="001D0E91" w:rsidRPr="00A93C41" w:rsidRDefault="001D0E91" w:rsidP="001D0E91">
      <w:pPr>
        <w:tabs>
          <w:tab w:val="left" w:pos="284"/>
          <w:tab w:val="left" w:pos="567"/>
          <w:tab w:val="left" w:pos="851"/>
        </w:tabs>
      </w:pPr>
    </w:p>
    <w:p w14:paraId="4C718811" w14:textId="2218FB4A" w:rsidR="001D0E91" w:rsidRPr="00A93C41" w:rsidRDefault="001D0E91" w:rsidP="008D2482">
      <w:pPr>
        <w:ind w:firstLine="567"/>
        <w:rPr>
          <w:rFonts w:cs="Arial"/>
        </w:rPr>
      </w:pPr>
      <w:r w:rsidRPr="00A93C41">
        <w:rPr>
          <w:rFonts w:cs="Arial"/>
        </w:rPr>
        <w:t>Cilj provjere provedbe naloga i preporuka bio je provjeriti jesu li dani nalozi i preporuke provedeni u rokovima i na način naveden u planu provedbe naloga i preporuka te jesu li subjekti revizije o provedbi</w:t>
      </w:r>
      <w:r w:rsidR="001A2A58" w:rsidRPr="00A93C41">
        <w:rPr>
          <w:rFonts w:cs="Arial"/>
        </w:rPr>
        <w:t xml:space="preserve"> naloga i preporuka izvještavali</w:t>
      </w:r>
      <w:r w:rsidRPr="00A93C41">
        <w:rPr>
          <w:rFonts w:cs="Arial"/>
        </w:rPr>
        <w:t xml:space="preserve"> Ured u roku od 30 dana od planiranog vremena provedbe, u skladu s odredbama Zakona o Državnom uredu za reviziju.</w:t>
      </w:r>
    </w:p>
    <w:p w14:paraId="3A7DCD57" w14:textId="40C08814" w:rsidR="001D0E91" w:rsidRPr="00A93C41" w:rsidRDefault="001D0E91" w:rsidP="001D0E91">
      <w:pPr>
        <w:ind w:firstLine="567"/>
        <w:rPr>
          <w:rFonts w:cs="Arial"/>
          <w:b/>
        </w:rPr>
      </w:pPr>
      <w:r w:rsidRPr="00A93C41">
        <w:rPr>
          <w:rFonts w:cs="Arial"/>
        </w:rPr>
        <w:lastRenderedPageBreak/>
        <w:t xml:space="preserve">Provjerom provedbe naloga i preporuka utvrđeno je da je, od </w:t>
      </w:r>
      <w:r w:rsidRPr="00A93C41">
        <w:rPr>
          <w:rFonts w:cs="Arial"/>
          <w:b/>
        </w:rPr>
        <w:t>1 113 naloga i preporuka,</w:t>
      </w:r>
      <w:r w:rsidRPr="00A93C41">
        <w:rPr>
          <w:rFonts w:cs="Arial"/>
        </w:rPr>
        <w:t xml:space="preserve"> </w:t>
      </w:r>
      <w:r w:rsidRPr="00A93C41">
        <w:rPr>
          <w:rFonts w:cs="Arial"/>
          <w:b/>
        </w:rPr>
        <w:t xml:space="preserve">provedeno </w:t>
      </w:r>
      <w:r w:rsidRPr="00A93C41">
        <w:rPr>
          <w:rFonts w:cs="Arial"/>
        </w:rPr>
        <w:t xml:space="preserve">(u roku i nakon roka) </w:t>
      </w:r>
      <w:r w:rsidRPr="00A93C41">
        <w:rPr>
          <w:rFonts w:cs="Arial"/>
          <w:b/>
        </w:rPr>
        <w:t>880 ili 79,1 %</w:t>
      </w:r>
      <w:r w:rsidRPr="00A93C41">
        <w:rPr>
          <w:rFonts w:cs="Arial"/>
        </w:rPr>
        <w:t xml:space="preserve">, </w:t>
      </w:r>
      <w:r w:rsidRPr="00A93C41">
        <w:rPr>
          <w:rFonts w:cs="Arial"/>
          <w:b/>
        </w:rPr>
        <w:t>djelomično je provedeno 115 ili 10,3 %, u postupku provedbe su tri ili 0,3 %, nije provedeno 89 ili 8,0 %, a 26 naloga i preporuka ili 2,3</w:t>
      </w:r>
      <w:r w:rsidR="00E5764E" w:rsidRPr="00A93C41">
        <w:rPr>
          <w:rFonts w:cs="Arial"/>
          <w:b/>
        </w:rPr>
        <w:t xml:space="preserve"> </w:t>
      </w:r>
      <w:r w:rsidRPr="00A93C41">
        <w:rPr>
          <w:rFonts w:cs="Arial"/>
          <w:b/>
        </w:rPr>
        <w:t>% nije primjenjivo</w:t>
      </w:r>
      <w:r w:rsidRPr="00A93C41">
        <w:rPr>
          <w:rFonts w:cs="Arial"/>
        </w:rPr>
        <w:t xml:space="preserve"> (zbog izmjene propisa ili subjekti revizije nisu imali aktivnosti za koje su u financijskoj reviziji dani nalozi i preporuke). </w:t>
      </w:r>
    </w:p>
    <w:p w14:paraId="0B954435" w14:textId="77777777" w:rsidR="00BA482E" w:rsidRPr="00A93C41" w:rsidRDefault="00BA482E" w:rsidP="001D0E91">
      <w:pPr>
        <w:ind w:firstLine="567"/>
        <w:rPr>
          <w:rFonts w:cs="Arial"/>
        </w:rPr>
      </w:pPr>
    </w:p>
    <w:p w14:paraId="0C368901" w14:textId="2F87E627" w:rsidR="001D0E91" w:rsidRPr="00A93C41" w:rsidRDefault="001D0E91" w:rsidP="001D0E91">
      <w:pPr>
        <w:ind w:firstLine="567"/>
        <w:rPr>
          <w:rFonts w:eastAsia="Calibri"/>
          <w:b/>
        </w:rPr>
      </w:pPr>
      <w:r w:rsidRPr="00A93C41">
        <w:rPr>
          <w:rFonts w:cs="Arial"/>
        </w:rPr>
        <w:t xml:space="preserve">Provedba naloga i preporuka pridonijela je realnijem iskazivanju podataka u financijskim izvještajima subjekata revizije, boljem upravljanju imovinom te većoj usklađenosti poslovanja sa zakonima, drugim propisima i unutarnjim aktima. Subjekti revizije su i nadalje u obvezi postupati prema nalozima i preporukama Ureda koji nisu provedeni ili nisu u cijelosti provedeni.  </w:t>
      </w:r>
    </w:p>
    <w:p w14:paraId="755E2BD8" w14:textId="5E98364C" w:rsidR="00543798" w:rsidRPr="003B4E3F" w:rsidRDefault="00543798" w:rsidP="001D0E91">
      <w:pPr>
        <w:tabs>
          <w:tab w:val="left" w:pos="284"/>
          <w:tab w:val="left" w:pos="567"/>
          <w:tab w:val="left" w:pos="851"/>
        </w:tabs>
        <w:rPr>
          <w:rFonts w:cs="Arial"/>
        </w:rPr>
      </w:pPr>
      <w:r w:rsidRPr="003B4E3F">
        <w:rPr>
          <w:rFonts w:cs="Arial"/>
        </w:rPr>
        <w:t xml:space="preserve"> </w:t>
      </w:r>
    </w:p>
    <w:p w14:paraId="38C4EA6A" w14:textId="77777777" w:rsidR="000E0B66" w:rsidRPr="003B4E3F" w:rsidRDefault="000E0B66" w:rsidP="00EE3381">
      <w:pPr>
        <w:pBdr>
          <w:bottom w:val="single" w:sz="4" w:space="1" w:color="auto"/>
        </w:pBdr>
        <w:ind w:firstLine="567"/>
        <w:rPr>
          <w:rFonts w:cs="Arial"/>
          <w:b/>
        </w:rPr>
      </w:pPr>
    </w:p>
    <w:p w14:paraId="7561C28A" w14:textId="77777777" w:rsidR="000E0B66" w:rsidRPr="003B4E3F" w:rsidRDefault="000E0B66" w:rsidP="00EE3381">
      <w:pPr>
        <w:ind w:firstLine="567"/>
        <w:rPr>
          <w:rFonts w:cs="Arial"/>
          <w:b/>
        </w:rPr>
      </w:pPr>
    </w:p>
    <w:p w14:paraId="427126C3" w14:textId="7CBC2D7B" w:rsidR="00663773" w:rsidRPr="003B4E3F" w:rsidRDefault="001C2CDA" w:rsidP="00E5764E">
      <w:pPr>
        <w:tabs>
          <w:tab w:val="left" w:pos="567"/>
        </w:tabs>
        <w:jc w:val="left"/>
      </w:pPr>
      <w:r w:rsidRPr="003B4E3F">
        <w:rPr>
          <w:rFonts w:cs="Arial"/>
        </w:rPr>
        <w:tab/>
      </w:r>
      <w:r w:rsidRPr="003B4E3F">
        <w:t xml:space="preserve"> </w:t>
      </w:r>
      <w:r w:rsidR="00842AA3" w:rsidRPr="003B4E3F">
        <w:t xml:space="preserve">Osoba za kontakt: </w:t>
      </w:r>
      <w:r w:rsidR="00BA482E">
        <w:t>Josipa Maraković</w:t>
      </w:r>
      <w:r w:rsidR="00536163" w:rsidRPr="003B4E3F">
        <w:t xml:space="preserve">, </w:t>
      </w:r>
      <w:r w:rsidR="00BA482E">
        <w:t>načelnica Odjela za odnose s javnošću</w:t>
      </w:r>
      <w:r w:rsidR="00536163" w:rsidRPr="003B4E3F">
        <w:t xml:space="preserve">, </w:t>
      </w:r>
    </w:p>
    <w:p w14:paraId="09E8DFC9" w14:textId="7E72C878" w:rsidR="00951A71" w:rsidRPr="003B4E3F" w:rsidRDefault="00536163" w:rsidP="00E5764E">
      <w:pPr>
        <w:tabs>
          <w:tab w:val="left" w:pos="567"/>
        </w:tabs>
        <w:jc w:val="left"/>
      </w:pPr>
      <w:r w:rsidRPr="003B4E3F">
        <w:t xml:space="preserve">e-adresa: </w:t>
      </w:r>
      <w:hyperlink r:id="rId10" w:history="1">
        <w:r w:rsidR="00BA482E" w:rsidRPr="009F6E16">
          <w:rPr>
            <w:rStyle w:val="Hiperveza"/>
          </w:rPr>
          <w:t>josipa.marakovic@revizija.hr</w:t>
        </w:r>
      </w:hyperlink>
      <w:r w:rsidR="00BA482E">
        <w:t xml:space="preserve">, </w:t>
      </w:r>
      <w:r w:rsidRPr="003B4E3F">
        <w:t>tel.: 4</w:t>
      </w:r>
      <w:r w:rsidR="00BA482E">
        <w:t>6</w:t>
      </w:r>
      <w:r w:rsidRPr="003B4E3F">
        <w:t xml:space="preserve"> </w:t>
      </w:r>
      <w:r w:rsidR="00BA482E">
        <w:t>27</w:t>
      </w:r>
      <w:r w:rsidRPr="003B4E3F">
        <w:t xml:space="preserve"> </w:t>
      </w:r>
      <w:r w:rsidR="00BA482E">
        <w:t>858</w:t>
      </w:r>
      <w:r w:rsidR="00B928D7" w:rsidRPr="003B4E3F">
        <w:t xml:space="preserve">, </w:t>
      </w:r>
      <w:r w:rsidR="00BA482E">
        <w:t>095 670 2594</w:t>
      </w:r>
      <w:r w:rsidRPr="003B4E3F">
        <w:t>.</w:t>
      </w:r>
    </w:p>
    <w:p w14:paraId="45DDC66F" w14:textId="77777777" w:rsidR="00B928D7" w:rsidRPr="003B4E3F" w:rsidRDefault="00B928D7" w:rsidP="00EE3381">
      <w:pPr>
        <w:jc w:val="left"/>
      </w:pPr>
    </w:p>
    <w:p w14:paraId="681274CD" w14:textId="77777777" w:rsidR="00B56DF6" w:rsidRPr="003B4E3F" w:rsidRDefault="00B56DF6" w:rsidP="00EE3381">
      <w:pPr>
        <w:jc w:val="left"/>
      </w:pPr>
    </w:p>
    <w:p w14:paraId="2717CC91" w14:textId="19FB806B" w:rsidR="00E14BF8" w:rsidRPr="003B4E3F" w:rsidRDefault="00E14BF8" w:rsidP="00EE3381">
      <w:r w:rsidRPr="003B4E3F">
        <w:tab/>
      </w:r>
      <w:r w:rsidRPr="003B4E3F">
        <w:tab/>
      </w:r>
      <w:r w:rsidRPr="003B4E3F">
        <w:tab/>
      </w:r>
      <w:r w:rsidRPr="003B4E3F">
        <w:tab/>
      </w:r>
      <w:r w:rsidRPr="003B4E3F">
        <w:tab/>
      </w:r>
      <w:r w:rsidR="00BA482E">
        <w:t>NAČELNICA ODJELA ZA ODNOSE S JAVNOŠĆU</w:t>
      </w:r>
    </w:p>
    <w:p w14:paraId="570FA653" w14:textId="77777777" w:rsidR="00B56DF6" w:rsidRPr="003B4E3F" w:rsidRDefault="00E14BF8" w:rsidP="00EE3381">
      <w:r w:rsidRPr="003B4E3F">
        <w:tab/>
      </w:r>
      <w:r w:rsidRPr="003B4E3F">
        <w:tab/>
      </w:r>
      <w:r w:rsidRPr="003B4E3F">
        <w:tab/>
      </w:r>
      <w:r w:rsidRPr="003B4E3F">
        <w:tab/>
      </w:r>
      <w:r w:rsidRPr="003B4E3F">
        <w:tab/>
      </w:r>
      <w:r w:rsidRPr="003B4E3F">
        <w:tab/>
      </w:r>
    </w:p>
    <w:p w14:paraId="450E22B4" w14:textId="080619F3" w:rsidR="00BA482E" w:rsidRDefault="00B56DF6" w:rsidP="00EE3381">
      <w:r w:rsidRPr="003B4E3F">
        <w:tab/>
      </w:r>
      <w:r w:rsidRPr="003B4E3F">
        <w:tab/>
      </w:r>
      <w:r w:rsidRPr="003B4E3F">
        <w:tab/>
      </w:r>
      <w:r w:rsidRPr="003B4E3F">
        <w:tab/>
      </w:r>
      <w:r w:rsidRPr="003B4E3F">
        <w:tab/>
      </w:r>
      <w:r w:rsidRPr="003B4E3F">
        <w:tab/>
      </w:r>
      <w:r w:rsidR="002D0C11">
        <w:tab/>
      </w:r>
      <w:r w:rsidR="00BA482E">
        <w:t xml:space="preserve">Josipa Maraković, dipl. </w:t>
      </w:r>
      <w:proofErr w:type="spellStart"/>
      <w:r w:rsidR="00BA482E">
        <w:t>oec</w:t>
      </w:r>
      <w:proofErr w:type="spellEnd"/>
      <w:r w:rsidR="00215339">
        <w:t>.</w:t>
      </w:r>
      <w:r w:rsidR="00BA482E">
        <w:t xml:space="preserve">, </w:t>
      </w:r>
    </w:p>
    <w:p w14:paraId="778B5762" w14:textId="090EC5C0" w:rsidR="00951A71" w:rsidRPr="003B4E3F" w:rsidRDefault="00A93C41" w:rsidP="00A93C41">
      <w:pPr>
        <w:ind w:left="4963"/>
      </w:pPr>
      <w:r>
        <w:t xml:space="preserve"> </w:t>
      </w:r>
      <w:proofErr w:type="spellStart"/>
      <w:r w:rsidR="00BA482E">
        <w:t>univ</w:t>
      </w:r>
      <w:proofErr w:type="spellEnd"/>
      <w:r w:rsidR="00BA482E">
        <w:t xml:space="preserve">. </w:t>
      </w:r>
      <w:proofErr w:type="spellStart"/>
      <w:r w:rsidR="00BA482E">
        <w:t>spec</w:t>
      </w:r>
      <w:proofErr w:type="spellEnd"/>
      <w:r w:rsidR="00BA482E">
        <w:t xml:space="preserve">. </w:t>
      </w:r>
      <w:proofErr w:type="spellStart"/>
      <w:r w:rsidR="00BA482E">
        <w:t>publ</w:t>
      </w:r>
      <w:proofErr w:type="spellEnd"/>
      <w:r w:rsidR="00BA482E">
        <w:t xml:space="preserve">. </w:t>
      </w:r>
      <w:proofErr w:type="spellStart"/>
      <w:r w:rsidR="0016170C">
        <w:t>r</w:t>
      </w:r>
      <w:r w:rsidR="00BA482E">
        <w:t>el</w:t>
      </w:r>
      <w:proofErr w:type="spellEnd"/>
      <w:r w:rsidR="0016170C">
        <w:t>.</w:t>
      </w:r>
      <w:r w:rsidR="00312A9C">
        <w:t xml:space="preserve">, v. </w:t>
      </w:r>
      <w:bookmarkStart w:id="1" w:name="_GoBack"/>
      <w:bookmarkEnd w:id="1"/>
      <w:r w:rsidR="00312A9C">
        <w:t>r.</w:t>
      </w:r>
    </w:p>
    <w:p w14:paraId="03E7C3F0" w14:textId="77777777" w:rsidR="00A437C9" w:rsidRPr="003B4E3F" w:rsidRDefault="00A437C9" w:rsidP="00EE3381"/>
    <w:p w14:paraId="6D547021" w14:textId="77777777" w:rsidR="00A437C9" w:rsidRPr="003B4E3F" w:rsidRDefault="00A437C9" w:rsidP="00EE3381"/>
    <w:p w14:paraId="5B5E86B1" w14:textId="77777777" w:rsidR="00A437C9" w:rsidRPr="003B4E3F" w:rsidRDefault="00A437C9" w:rsidP="00EE3381"/>
    <w:p w14:paraId="546212EF" w14:textId="77777777" w:rsidR="00A437C9" w:rsidRPr="003B4E3F" w:rsidRDefault="00A437C9" w:rsidP="00EE3381"/>
    <w:p w14:paraId="517D4479" w14:textId="77777777" w:rsidR="00A437C9" w:rsidRPr="003B4E3F" w:rsidRDefault="00A437C9" w:rsidP="00EE3381"/>
    <w:p w14:paraId="4DB8B424" w14:textId="77777777" w:rsidR="00A437C9" w:rsidRPr="003B4E3F" w:rsidRDefault="00A437C9" w:rsidP="00EE3381"/>
    <w:p w14:paraId="41E3AF48" w14:textId="77777777" w:rsidR="00A437C9" w:rsidRPr="003B4E3F" w:rsidRDefault="00A437C9" w:rsidP="00EE3381"/>
    <w:p w14:paraId="56C82DB4" w14:textId="77777777" w:rsidR="00A437C9" w:rsidRPr="003B4E3F" w:rsidRDefault="00A437C9" w:rsidP="00EE3381"/>
    <w:p w14:paraId="588E3658" w14:textId="77777777" w:rsidR="00A437C9" w:rsidRPr="003B4E3F" w:rsidRDefault="00A437C9" w:rsidP="00EE3381"/>
    <w:p w14:paraId="62C7B3A5" w14:textId="77777777" w:rsidR="00A437C9" w:rsidRPr="003B4E3F" w:rsidRDefault="00A437C9" w:rsidP="00EE3381"/>
    <w:p w14:paraId="2243AD71" w14:textId="77777777" w:rsidR="00A437C9" w:rsidRPr="003B4E3F" w:rsidRDefault="00A437C9" w:rsidP="00EE3381"/>
    <w:p w14:paraId="19617C21" w14:textId="77777777" w:rsidR="00A437C9" w:rsidRPr="003B4E3F" w:rsidRDefault="00A437C9" w:rsidP="00EE3381"/>
    <w:p w14:paraId="4BE3BAAE" w14:textId="77777777" w:rsidR="00A437C9" w:rsidRPr="003B4E3F" w:rsidRDefault="00A437C9" w:rsidP="00EE3381"/>
    <w:p w14:paraId="7A7D83FE" w14:textId="77777777" w:rsidR="00A437C9" w:rsidRPr="003B4E3F" w:rsidRDefault="00A437C9" w:rsidP="00EE3381"/>
    <w:p w14:paraId="3C3D9EDC" w14:textId="77777777" w:rsidR="00A437C9" w:rsidRPr="003B4E3F" w:rsidRDefault="00A437C9" w:rsidP="00EE3381"/>
    <w:p w14:paraId="230433DE" w14:textId="77777777" w:rsidR="00A437C9" w:rsidRPr="003B4E3F" w:rsidRDefault="00A437C9" w:rsidP="00EE3381"/>
    <w:p w14:paraId="73468C3C" w14:textId="77777777" w:rsidR="00A437C9" w:rsidRPr="003B4E3F" w:rsidRDefault="00A437C9" w:rsidP="00EE3381"/>
    <w:p w14:paraId="5A445FE5" w14:textId="77777777" w:rsidR="00A437C9" w:rsidRPr="003B4E3F" w:rsidRDefault="00A437C9" w:rsidP="00EE3381"/>
    <w:sectPr w:rsidR="00A437C9" w:rsidRPr="003B4E3F" w:rsidSect="00952B63">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0D377" w14:textId="77777777" w:rsidR="00004907" w:rsidRDefault="00004907" w:rsidP="00952B63">
      <w:r>
        <w:separator/>
      </w:r>
    </w:p>
  </w:endnote>
  <w:endnote w:type="continuationSeparator" w:id="0">
    <w:p w14:paraId="259C65DA" w14:textId="77777777" w:rsidR="00004907" w:rsidRDefault="00004907"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3CEA" w14:textId="77777777" w:rsidR="00004907" w:rsidRDefault="00004907" w:rsidP="00952B63">
      <w:r>
        <w:separator/>
      </w:r>
    </w:p>
  </w:footnote>
  <w:footnote w:type="continuationSeparator" w:id="0">
    <w:p w14:paraId="061B3769" w14:textId="77777777" w:rsidR="00004907" w:rsidRDefault="00004907"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BAEA" w14:textId="77777777" w:rsidR="009152C6" w:rsidRDefault="009152C6">
    <w:pPr>
      <w:pStyle w:val="Zaglavlje"/>
      <w:jc w:val="center"/>
    </w:pPr>
  </w:p>
  <w:p w14:paraId="5964662E" w14:textId="77777777" w:rsidR="009152C6" w:rsidRDefault="009152C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B0169"/>
    <w:multiLevelType w:val="hybridMultilevel"/>
    <w:tmpl w:val="E9CCB6B6"/>
    <w:lvl w:ilvl="0" w:tplc="A3AEEA10">
      <w:numFmt w:val="bullet"/>
      <w:lvlText w:val="–"/>
      <w:lvlJc w:val="left"/>
      <w:pPr>
        <w:ind w:left="720" w:hanging="360"/>
      </w:pPr>
      <w:rPr>
        <w:rFonts w:ascii="Times New Roman" w:eastAsia="Times New Roman" w:hAnsi="Times New Roman"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837C95"/>
    <w:multiLevelType w:val="hybridMultilevel"/>
    <w:tmpl w:val="75DA8A74"/>
    <w:lvl w:ilvl="0" w:tplc="DD6400FA">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3621B4"/>
    <w:multiLevelType w:val="hybridMultilevel"/>
    <w:tmpl w:val="33521846"/>
    <w:lvl w:ilvl="0" w:tplc="F5740A22">
      <w:numFmt w:val="bullet"/>
      <w:lvlText w:val="–"/>
      <w:lvlJc w:val="left"/>
      <w:pPr>
        <w:ind w:left="930" w:hanging="360"/>
      </w:pPr>
      <w:rPr>
        <w:rFonts w:ascii="Bookman Old Style" w:eastAsia="Calibri" w:hAnsi="Bookman Old Style" w:cs="Times New Roman" w:hint="default"/>
        <w:sz w:val="24"/>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4" w15:restartNumberingAfterBreak="0">
    <w:nsid w:val="4B611937"/>
    <w:multiLevelType w:val="hybridMultilevel"/>
    <w:tmpl w:val="B1DCE1AC"/>
    <w:lvl w:ilvl="0" w:tplc="DD6400F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B74182"/>
    <w:multiLevelType w:val="hybridMultilevel"/>
    <w:tmpl w:val="7D5CB436"/>
    <w:lvl w:ilvl="0" w:tplc="97703E3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004530B"/>
    <w:multiLevelType w:val="hybridMultilevel"/>
    <w:tmpl w:val="476E9950"/>
    <w:lvl w:ilvl="0" w:tplc="DD6400FA">
      <w:numFmt w:val="bullet"/>
      <w:lvlText w:val="–"/>
      <w:lvlJc w:val="left"/>
      <w:pPr>
        <w:ind w:left="1287" w:hanging="360"/>
      </w:pPr>
      <w:rPr>
        <w:rFonts w:ascii="Arial" w:eastAsia="Times New Roman" w:hAnsi="Arial" w:cs="Arial" w:hint="default"/>
        <w:sz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6E8E0618"/>
    <w:multiLevelType w:val="hybridMultilevel"/>
    <w:tmpl w:val="D8E08A52"/>
    <w:lvl w:ilvl="0" w:tplc="F43A1CB2">
      <w:numFmt w:val="bullet"/>
      <w:lvlText w:val="–"/>
      <w:lvlJc w:val="left"/>
      <w:pPr>
        <w:ind w:left="1429" w:hanging="360"/>
      </w:pPr>
      <w:rPr>
        <w:rFonts w:ascii="Arial" w:eastAsia="Arial" w:hAnsi="Arial" w:cs="Arial" w:hint="default"/>
        <w:i w:val="0"/>
      </w:rPr>
    </w:lvl>
    <w:lvl w:ilvl="1" w:tplc="041A0003">
      <w:start w:val="1"/>
      <w:numFmt w:val="bullet"/>
      <w:lvlText w:val="o"/>
      <w:lvlJc w:val="left"/>
      <w:pPr>
        <w:ind w:left="1637"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721D1DDF"/>
    <w:multiLevelType w:val="hybridMultilevel"/>
    <w:tmpl w:val="539CD71C"/>
    <w:lvl w:ilvl="0" w:tplc="F43A1CB2">
      <w:numFmt w:val="bullet"/>
      <w:lvlText w:val="–"/>
      <w:lvlJc w:val="left"/>
      <w:pPr>
        <w:ind w:left="720" w:hanging="360"/>
      </w:pPr>
      <w:rPr>
        <w:rFonts w:ascii="Arial" w:eastAsia="Arial"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38C0BD8"/>
    <w:multiLevelType w:val="hybridMultilevel"/>
    <w:tmpl w:val="1464B850"/>
    <w:lvl w:ilvl="0" w:tplc="F43A1CB2">
      <w:numFmt w:val="bullet"/>
      <w:lvlText w:val="–"/>
      <w:lvlJc w:val="left"/>
      <w:pPr>
        <w:ind w:left="1287" w:hanging="360"/>
      </w:pPr>
      <w:rPr>
        <w:rFonts w:ascii="Arial" w:eastAsia="Arial" w:hAnsi="Arial" w:cs="Arial" w:hint="default"/>
        <w:i w:val="0"/>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9"/>
  </w:num>
  <w:num w:numId="7">
    <w:abstractNumId w:val="8"/>
  </w:num>
  <w:num w:numId="8">
    <w:abstractNumId w:val="7"/>
  </w:num>
  <w:num w:numId="9">
    <w:abstractNumId w:val="6"/>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4907"/>
    <w:rsid w:val="000057C9"/>
    <w:rsid w:val="0000736A"/>
    <w:rsid w:val="000123F8"/>
    <w:rsid w:val="000141BC"/>
    <w:rsid w:val="00016883"/>
    <w:rsid w:val="000242F6"/>
    <w:rsid w:val="000250F8"/>
    <w:rsid w:val="00026992"/>
    <w:rsid w:val="00027CA3"/>
    <w:rsid w:val="0003040A"/>
    <w:rsid w:val="0003398F"/>
    <w:rsid w:val="00043311"/>
    <w:rsid w:val="00044757"/>
    <w:rsid w:val="000451D0"/>
    <w:rsid w:val="00047341"/>
    <w:rsid w:val="00056100"/>
    <w:rsid w:val="00056D0B"/>
    <w:rsid w:val="00060DDE"/>
    <w:rsid w:val="00065ED1"/>
    <w:rsid w:val="00070056"/>
    <w:rsid w:val="00070FF6"/>
    <w:rsid w:val="00071946"/>
    <w:rsid w:val="00072491"/>
    <w:rsid w:val="000775DE"/>
    <w:rsid w:val="000807A5"/>
    <w:rsid w:val="0008114F"/>
    <w:rsid w:val="0008465D"/>
    <w:rsid w:val="00084FA5"/>
    <w:rsid w:val="00094103"/>
    <w:rsid w:val="00096B45"/>
    <w:rsid w:val="00097A27"/>
    <w:rsid w:val="000A29AD"/>
    <w:rsid w:val="000A3FB4"/>
    <w:rsid w:val="000B518D"/>
    <w:rsid w:val="000B773D"/>
    <w:rsid w:val="000B7B7D"/>
    <w:rsid w:val="000C15A6"/>
    <w:rsid w:val="000C20C9"/>
    <w:rsid w:val="000D0643"/>
    <w:rsid w:val="000D06C9"/>
    <w:rsid w:val="000D0AD3"/>
    <w:rsid w:val="000D3A51"/>
    <w:rsid w:val="000D3F85"/>
    <w:rsid w:val="000E0B66"/>
    <w:rsid w:val="000E1845"/>
    <w:rsid w:val="000E1953"/>
    <w:rsid w:val="000E1DCD"/>
    <w:rsid w:val="000E1FD8"/>
    <w:rsid w:val="000E312B"/>
    <w:rsid w:val="000E790D"/>
    <w:rsid w:val="000F3004"/>
    <w:rsid w:val="000F44D6"/>
    <w:rsid w:val="000F4DA3"/>
    <w:rsid w:val="000F5923"/>
    <w:rsid w:val="000F6092"/>
    <w:rsid w:val="000F645E"/>
    <w:rsid w:val="000F6943"/>
    <w:rsid w:val="00101082"/>
    <w:rsid w:val="00102D00"/>
    <w:rsid w:val="001103B2"/>
    <w:rsid w:val="00110ED2"/>
    <w:rsid w:val="00114105"/>
    <w:rsid w:val="0011690A"/>
    <w:rsid w:val="00122A9A"/>
    <w:rsid w:val="001239B9"/>
    <w:rsid w:val="00125007"/>
    <w:rsid w:val="001262C4"/>
    <w:rsid w:val="0013204B"/>
    <w:rsid w:val="001328A7"/>
    <w:rsid w:val="00132B58"/>
    <w:rsid w:val="001366D9"/>
    <w:rsid w:val="00136C10"/>
    <w:rsid w:val="00137CDA"/>
    <w:rsid w:val="00141584"/>
    <w:rsid w:val="00142499"/>
    <w:rsid w:val="00142787"/>
    <w:rsid w:val="001505B6"/>
    <w:rsid w:val="0015107E"/>
    <w:rsid w:val="00151560"/>
    <w:rsid w:val="0015358D"/>
    <w:rsid w:val="0015364B"/>
    <w:rsid w:val="00157A8E"/>
    <w:rsid w:val="00160D33"/>
    <w:rsid w:val="00160DE1"/>
    <w:rsid w:val="00161030"/>
    <w:rsid w:val="0016108A"/>
    <w:rsid w:val="0016170C"/>
    <w:rsid w:val="00161B45"/>
    <w:rsid w:val="001644F1"/>
    <w:rsid w:val="001649E4"/>
    <w:rsid w:val="00165144"/>
    <w:rsid w:val="00166055"/>
    <w:rsid w:val="0016688D"/>
    <w:rsid w:val="001715AE"/>
    <w:rsid w:val="00173AC3"/>
    <w:rsid w:val="001775EC"/>
    <w:rsid w:val="0018148C"/>
    <w:rsid w:val="00183A86"/>
    <w:rsid w:val="0018415E"/>
    <w:rsid w:val="001848E2"/>
    <w:rsid w:val="0018760D"/>
    <w:rsid w:val="00194E75"/>
    <w:rsid w:val="001960AF"/>
    <w:rsid w:val="0019637E"/>
    <w:rsid w:val="001977DD"/>
    <w:rsid w:val="001A210D"/>
    <w:rsid w:val="001A2A58"/>
    <w:rsid w:val="001A5868"/>
    <w:rsid w:val="001B03BB"/>
    <w:rsid w:val="001B0DD7"/>
    <w:rsid w:val="001B46C7"/>
    <w:rsid w:val="001B7037"/>
    <w:rsid w:val="001C1EA4"/>
    <w:rsid w:val="001C2236"/>
    <w:rsid w:val="001C2CDA"/>
    <w:rsid w:val="001C5412"/>
    <w:rsid w:val="001C67A2"/>
    <w:rsid w:val="001D0E91"/>
    <w:rsid w:val="001D2180"/>
    <w:rsid w:val="001D3ACF"/>
    <w:rsid w:val="001D4F29"/>
    <w:rsid w:val="001D5B8A"/>
    <w:rsid w:val="001E277F"/>
    <w:rsid w:val="001E5C93"/>
    <w:rsid w:val="001F0F8D"/>
    <w:rsid w:val="00200861"/>
    <w:rsid w:val="002015F5"/>
    <w:rsid w:val="00202CC3"/>
    <w:rsid w:val="00203347"/>
    <w:rsid w:val="00203B91"/>
    <w:rsid w:val="00204F02"/>
    <w:rsid w:val="00206C7C"/>
    <w:rsid w:val="002101C4"/>
    <w:rsid w:val="002104D5"/>
    <w:rsid w:val="002126EC"/>
    <w:rsid w:val="002130D4"/>
    <w:rsid w:val="00215339"/>
    <w:rsid w:val="00222C44"/>
    <w:rsid w:val="002243CA"/>
    <w:rsid w:val="00226C3B"/>
    <w:rsid w:val="0023340B"/>
    <w:rsid w:val="00234BF7"/>
    <w:rsid w:val="0024058F"/>
    <w:rsid w:val="0024379A"/>
    <w:rsid w:val="00244BDE"/>
    <w:rsid w:val="00245314"/>
    <w:rsid w:val="00245918"/>
    <w:rsid w:val="00246E11"/>
    <w:rsid w:val="002505E7"/>
    <w:rsid w:val="0025298B"/>
    <w:rsid w:val="002601FA"/>
    <w:rsid w:val="00262363"/>
    <w:rsid w:val="00262717"/>
    <w:rsid w:val="00262D3F"/>
    <w:rsid w:val="00263A41"/>
    <w:rsid w:val="00264769"/>
    <w:rsid w:val="00271585"/>
    <w:rsid w:val="00280698"/>
    <w:rsid w:val="002823D2"/>
    <w:rsid w:val="0028347D"/>
    <w:rsid w:val="00286B0E"/>
    <w:rsid w:val="00287DEF"/>
    <w:rsid w:val="00291DCC"/>
    <w:rsid w:val="0029606A"/>
    <w:rsid w:val="00296C72"/>
    <w:rsid w:val="00297FF4"/>
    <w:rsid w:val="002A375B"/>
    <w:rsid w:val="002A7B80"/>
    <w:rsid w:val="002B2252"/>
    <w:rsid w:val="002B40BE"/>
    <w:rsid w:val="002C07E5"/>
    <w:rsid w:val="002C316E"/>
    <w:rsid w:val="002C3F6E"/>
    <w:rsid w:val="002C4C65"/>
    <w:rsid w:val="002D0C11"/>
    <w:rsid w:val="002D5D76"/>
    <w:rsid w:val="002D63C6"/>
    <w:rsid w:val="002E52A8"/>
    <w:rsid w:val="002E5406"/>
    <w:rsid w:val="002E6A0F"/>
    <w:rsid w:val="002E6DA4"/>
    <w:rsid w:val="002F05B9"/>
    <w:rsid w:val="002F0635"/>
    <w:rsid w:val="002F06BB"/>
    <w:rsid w:val="002F104A"/>
    <w:rsid w:val="002F3BB7"/>
    <w:rsid w:val="002F5456"/>
    <w:rsid w:val="00303B06"/>
    <w:rsid w:val="003049ED"/>
    <w:rsid w:val="00305F14"/>
    <w:rsid w:val="0030749A"/>
    <w:rsid w:val="00310DC0"/>
    <w:rsid w:val="00312A9C"/>
    <w:rsid w:val="00315480"/>
    <w:rsid w:val="00316343"/>
    <w:rsid w:val="003205DC"/>
    <w:rsid w:val="00320A51"/>
    <w:rsid w:val="00320F90"/>
    <w:rsid w:val="00321555"/>
    <w:rsid w:val="00324D33"/>
    <w:rsid w:val="00326DD7"/>
    <w:rsid w:val="00327E16"/>
    <w:rsid w:val="00331AFD"/>
    <w:rsid w:val="00341EB6"/>
    <w:rsid w:val="00345BD8"/>
    <w:rsid w:val="00351203"/>
    <w:rsid w:val="00351870"/>
    <w:rsid w:val="0035432C"/>
    <w:rsid w:val="00354CAD"/>
    <w:rsid w:val="003629F7"/>
    <w:rsid w:val="00362A16"/>
    <w:rsid w:val="003679D5"/>
    <w:rsid w:val="003705E1"/>
    <w:rsid w:val="0037126B"/>
    <w:rsid w:val="00372485"/>
    <w:rsid w:val="0037498F"/>
    <w:rsid w:val="00375FD6"/>
    <w:rsid w:val="00377D20"/>
    <w:rsid w:val="003800B6"/>
    <w:rsid w:val="00382109"/>
    <w:rsid w:val="00382E6E"/>
    <w:rsid w:val="00384038"/>
    <w:rsid w:val="00387844"/>
    <w:rsid w:val="00387C57"/>
    <w:rsid w:val="0039002F"/>
    <w:rsid w:val="003923A4"/>
    <w:rsid w:val="003930E9"/>
    <w:rsid w:val="0039583F"/>
    <w:rsid w:val="003975C0"/>
    <w:rsid w:val="003A1289"/>
    <w:rsid w:val="003A6CF2"/>
    <w:rsid w:val="003B3419"/>
    <w:rsid w:val="003B4E3F"/>
    <w:rsid w:val="003C1D32"/>
    <w:rsid w:val="003C4012"/>
    <w:rsid w:val="003C4E95"/>
    <w:rsid w:val="003C7DE0"/>
    <w:rsid w:val="003D6696"/>
    <w:rsid w:val="003D74FC"/>
    <w:rsid w:val="003E259E"/>
    <w:rsid w:val="003E2E9C"/>
    <w:rsid w:val="003E3EDC"/>
    <w:rsid w:val="003E527C"/>
    <w:rsid w:val="003E5AC9"/>
    <w:rsid w:val="003E5D1C"/>
    <w:rsid w:val="003E7EA4"/>
    <w:rsid w:val="003F016D"/>
    <w:rsid w:val="003F5640"/>
    <w:rsid w:val="004028F8"/>
    <w:rsid w:val="00411CAB"/>
    <w:rsid w:val="0041328B"/>
    <w:rsid w:val="00421E66"/>
    <w:rsid w:val="00422D19"/>
    <w:rsid w:val="00423EBC"/>
    <w:rsid w:val="0042574C"/>
    <w:rsid w:val="00425B82"/>
    <w:rsid w:val="0042683A"/>
    <w:rsid w:val="00426CCE"/>
    <w:rsid w:val="0043069A"/>
    <w:rsid w:val="004310FA"/>
    <w:rsid w:val="00431E53"/>
    <w:rsid w:val="0043276B"/>
    <w:rsid w:val="00433A68"/>
    <w:rsid w:val="004367C9"/>
    <w:rsid w:val="0044093B"/>
    <w:rsid w:val="0044464E"/>
    <w:rsid w:val="00444A5A"/>
    <w:rsid w:val="00444F7A"/>
    <w:rsid w:val="004461BD"/>
    <w:rsid w:val="00450957"/>
    <w:rsid w:val="00450AE6"/>
    <w:rsid w:val="0045163E"/>
    <w:rsid w:val="00456620"/>
    <w:rsid w:val="00457AF2"/>
    <w:rsid w:val="00457EB3"/>
    <w:rsid w:val="0046036A"/>
    <w:rsid w:val="00463408"/>
    <w:rsid w:val="004639B8"/>
    <w:rsid w:val="00463D0B"/>
    <w:rsid w:val="00471917"/>
    <w:rsid w:val="00474161"/>
    <w:rsid w:val="0047567F"/>
    <w:rsid w:val="00475AB9"/>
    <w:rsid w:val="00483947"/>
    <w:rsid w:val="00486718"/>
    <w:rsid w:val="00491FE8"/>
    <w:rsid w:val="004967E3"/>
    <w:rsid w:val="00497DAB"/>
    <w:rsid w:val="004A313D"/>
    <w:rsid w:val="004A452E"/>
    <w:rsid w:val="004A54F2"/>
    <w:rsid w:val="004A6D85"/>
    <w:rsid w:val="004B1186"/>
    <w:rsid w:val="004B15A2"/>
    <w:rsid w:val="004B233F"/>
    <w:rsid w:val="004B26CD"/>
    <w:rsid w:val="004B2A6B"/>
    <w:rsid w:val="004B3644"/>
    <w:rsid w:val="004B3B01"/>
    <w:rsid w:val="004B470D"/>
    <w:rsid w:val="004B47E2"/>
    <w:rsid w:val="004B6C6B"/>
    <w:rsid w:val="004B7970"/>
    <w:rsid w:val="004C236A"/>
    <w:rsid w:val="004C2BA4"/>
    <w:rsid w:val="004C4161"/>
    <w:rsid w:val="004C6299"/>
    <w:rsid w:val="004C62A8"/>
    <w:rsid w:val="004C6B46"/>
    <w:rsid w:val="004D1A26"/>
    <w:rsid w:val="004D24EA"/>
    <w:rsid w:val="004D2D5D"/>
    <w:rsid w:val="004D405C"/>
    <w:rsid w:val="004D487A"/>
    <w:rsid w:val="004D6792"/>
    <w:rsid w:val="004E2192"/>
    <w:rsid w:val="004E432D"/>
    <w:rsid w:val="004E4DD1"/>
    <w:rsid w:val="004E51ED"/>
    <w:rsid w:val="004E6097"/>
    <w:rsid w:val="004E7E5C"/>
    <w:rsid w:val="004F0C09"/>
    <w:rsid w:val="004F1C5E"/>
    <w:rsid w:val="004F39CC"/>
    <w:rsid w:val="004F405D"/>
    <w:rsid w:val="004F4416"/>
    <w:rsid w:val="004F5883"/>
    <w:rsid w:val="005027B3"/>
    <w:rsid w:val="00505485"/>
    <w:rsid w:val="0051035F"/>
    <w:rsid w:val="00513D99"/>
    <w:rsid w:val="0052309C"/>
    <w:rsid w:val="005235D2"/>
    <w:rsid w:val="00524549"/>
    <w:rsid w:val="00526E8F"/>
    <w:rsid w:val="00527B97"/>
    <w:rsid w:val="00530F57"/>
    <w:rsid w:val="005314A3"/>
    <w:rsid w:val="00533CFF"/>
    <w:rsid w:val="00534C42"/>
    <w:rsid w:val="00536163"/>
    <w:rsid w:val="00536CB9"/>
    <w:rsid w:val="00541473"/>
    <w:rsid w:val="00543798"/>
    <w:rsid w:val="005440FA"/>
    <w:rsid w:val="00547AA1"/>
    <w:rsid w:val="005521BA"/>
    <w:rsid w:val="005522E6"/>
    <w:rsid w:val="00557026"/>
    <w:rsid w:val="00562AC1"/>
    <w:rsid w:val="0057018B"/>
    <w:rsid w:val="00573E27"/>
    <w:rsid w:val="005743DD"/>
    <w:rsid w:val="00575834"/>
    <w:rsid w:val="0058355E"/>
    <w:rsid w:val="0058449E"/>
    <w:rsid w:val="00584E43"/>
    <w:rsid w:val="00585DA9"/>
    <w:rsid w:val="00585DAC"/>
    <w:rsid w:val="00590779"/>
    <w:rsid w:val="00591897"/>
    <w:rsid w:val="00594CD9"/>
    <w:rsid w:val="005A1E4B"/>
    <w:rsid w:val="005A6B6B"/>
    <w:rsid w:val="005B0D80"/>
    <w:rsid w:val="005B339A"/>
    <w:rsid w:val="005B4C81"/>
    <w:rsid w:val="005B5241"/>
    <w:rsid w:val="005B6DAE"/>
    <w:rsid w:val="005C1F78"/>
    <w:rsid w:val="005C2626"/>
    <w:rsid w:val="005C44E3"/>
    <w:rsid w:val="005C4BD6"/>
    <w:rsid w:val="005C4E43"/>
    <w:rsid w:val="005C596B"/>
    <w:rsid w:val="005C5B96"/>
    <w:rsid w:val="005C6150"/>
    <w:rsid w:val="005C704E"/>
    <w:rsid w:val="005C74BD"/>
    <w:rsid w:val="005D24E3"/>
    <w:rsid w:val="005D26B4"/>
    <w:rsid w:val="005D398E"/>
    <w:rsid w:val="005E064F"/>
    <w:rsid w:val="005E2C72"/>
    <w:rsid w:val="005E3602"/>
    <w:rsid w:val="005E4C07"/>
    <w:rsid w:val="005E4C52"/>
    <w:rsid w:val="005E5681"/>
    <w:rsid w:val="005E579E"/>
    <w:rsid w:val="005F028A"/>
    <w:rsid w:val="005F1449"/>
    <w:rsid w:val="005F3769"/>
    <w:rsid w:val="005F45C8"/>
    <w:rsid w:val="00600A72"/>
    <w:rsid w:val="00602E68"/>
    <w:rsid w:val="00610D59"/>
    <w:rsid w:val="006111E9"/>
    <w:rsid w:val="0061190F"/>
    <w:rsid w:val="00611BAD"/>
    <w:rsid w:val="006128F8"/>
    <w:rsid w:val="0061646B"/>
    <w:rsid w:val="00617765"/>
    <w:rsid w:val="0062635B"/>
    <w:rsid w:val="00630053"/>
    <w:rsid w:val="006302D5"/>
    <w:rsid w:val="00630B21"/>
    <w:rsid w:val="0063131B"/>
    <w:rsid w:val="006350CB"/>
    <w:rsid w:val="00635581"/>
    <w:rsid w:val="00635CB1"/>
    <w:rsid w:val="00647A25"/>
    <w:rsid w:val="006515F6"/>
    <w:rsid w:val="00651ACB"/>
    <w:rsid w:val="00655ED4"/>
    <w:rsid w:val="006577AD"/>
    <w:rsid w:val="0066006A"/>
    <w:rsid w:val="00662A84"/>
    <w:rsid w:val="00663773"/>
    <w:rsid w:val="0066683A"/>
    <w:rsid w:val="006705F9"/>
    <w:rsid w:val="00671132"/>
    <w:rsid w:val="00672D99"/>
    <w:rsid w:val="00673F53"/>
    <w:rsid w:val="00677179"/>
    <w:rsid w:val="006855E8"/>
    <w:rsid w:val="0068565F"/>
    <w:rsid w:val="006857E1"/>
    <w:rsid w:val="00693029"/>
    <w:rsid w:val="0069369C"/>
    <w:rsid w:val="006A3B73"/>
    <w:rsid w:val="006A66E5"/>
    <w:rsid w:val="006B0BB3"/>
    <w:rsid w:val="006B161E"/>
    <w:rsid w:val="006B64B0"/>
    <w:rsid w:val="006B6863"/>
    <w:rsid w:val="006C0EC1"/>
    <w:rsid w:val="006C1BD8"/>
    <w:rsid w:val="006C27ED"/>
    <w:rsid w:val="006C7C14"/>
    <w:rsid w:val="006D1FF8"/>
    <w:rsid w:val="006D2CA5"/>
    <w:rsid w:val="006D35FC"/>
    <w:rsid w:val="006D4308"/>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5E40"/>
    <w:rsid w:val="00724795"/>
    <w:rsid w:val="00727A01"/>
    <w:rsid w:val="0073104E"/>
    <w:rsid w:val="00731069"/>
    <w:rsid w:val="007315CA"/>
    <w:rsid w:val="00733F2C"/>
    <w:rsid w:val="00734C1B"/>
    <w:rsid w:val="00735723"/>
    <w:rsid w:val="00735990"/>
    <w:rsid w:val="00745232"/>
    <w:rsid w:val="00745F83"/>
    <w:rsid w:val="00754AF5"/>
    <w:rsid w:val="00757E1E"/>
    <w:rsid w:val="00761E81"/>
    <w:rsid w:val="007624A0"/>
    <w:rsid w:val="00762DD9"/>
    <w:rsid w:val="00766FD0"/>
    <w:rsid w:val="007732A6"/>
    <w:rsid w:val="007737CB"/>
    <w:rsid w:val="00782C62"/>
    <w:rsid w:val="00787D52"/>
    <w:rsid w:val="00790451"/>
    <w:rsid w:val="00791DDA"/>
    <w:rsid w:val="007938D2"/>
    <w:rsid w:val="0079450C"/>
    <w:rsid w:val="00794D8D"/>
    <w:rsid w:val="007A0D71"/>
    <w:rsid w:val="007A1413"/>
    <w:rsid w:val="007A14C0"/>
    <w:rsid w:val="007A5B5D"/>
    <w:rsid w:val="007B3AA9"/>
    <w:rsid w:val="007B414D"/>
    <w:rsid w:val="007B6BDB"/>
    <w:rsid w:val="007C021D"/>
    <w:rsid w:val="007C340B"/>
    <w:rsid w:val="007C685E"/>
    <w:rsid w:val="007D0255"/>
    <w:rsid w:val="007D4E06"/>
    <w:rsid w:val="007D57AC"/>
    <w:rsid w:val="007D60EF"/>
    <w:rsid w:val="007D6E44"/>
    <w:rsid w:val="007D6F1A"/>
    <w:rsid w:val="007D73FA"/>
    <w:rsid w:val="007E1891"/>
    <w:rsid w:val="007E2393"/>
    <w:rsid w:val="007E3D2A"/>
    <w:rsid w:val="007E52C5"/>
    <w:rsid w:val="007E5A53"/>
    <w:rsid w:val="007F0105"/>
    <w:rsid w:val="007F099B"/>
    <w:rsid w:val="007F1A1D"/>
    <w:rsid w:val="007F5618"/>
    <w:rsid w:val="00800A2B"/>
    <w:rsid w:val="00803265"/>
    <w:rsid w:val="008059D8"/>
    <w:rsid w:val="00807334"/>
    <w:rsid w:val="008118B7"/>
    <w:rsid w:val="0081290E"/>
    <w:rsid w:val="008220FA"/>
    <w:rsid w:val="008224F7"/>
    <w:rsid w:val="00822B57"/>
    <w:rsid w:val="00836654"/>
    <w:rsid w:val="00837140"/>
    <w:rsid w:val="00840024"/>
    <w:rsid w:val="00842AA3"/>
    <w:rsid w:val="008449C2"/>
    <w:rsid w:val="008454AE"/>
    <w:rsid w:val="00845B83"/>
    <w:rsid w:val="008515A4"/>
    <w:rsid w:val="00852A1E"/>
    <w:rsid w:val="008548B8"/>
    <w:rsid w:val="00854E57"/>
    <w:rsid w:val="00855C90"/>
    <w:rsid w:val="0086005B"/>
    <w:rsid w:val="00862B16"/>
    <w:rsid w:val="008633A5"/>
    <w:rsid w:val="008633FF"/>
    <w:rsid w:val="00871F13"/>
    <w:rsid w:val="008723FA"/>
    <w:rsid w:val="00873BAA"/>
    <w:rsid w:val="00883C61"/>
    <w:rsid w:val="0088521B"/>
    <w:rsid w:val="0088548E"/>
    <w:rsid w:val="00891A8F"/>
    <w:rsid w:val="00892872"/>
    <w:rsid w:val="00892B37"/>
    <w:rsid w:val="00894B34"/>
    <w:rsid w:val="0089612B"/>
    <w:rsid w:val="008A03FD"/>
    <w:rsid w:val="008A06A5"/>
    <w:rsid w:val="008A5936"/>
    <w:rsid w:val="008B502E"/>
    <w:rsid w:val="008C0156"/>
    <w:rsid w:val="008C1850"/>
    <w:rsid w:val="008C1C06"/>
    <w:rsid w:val="008C53BB"/>
    <w:rsid w:val="008D2482"/>
    <w:rsid w:val="008D28BC"/>
    <w:rsid w:val="008D328E"/>
    <w:rsid w:val="008D5BD5"/>
    <w:rsid w:val="008E4E19"/>
    <w:rsid w:val="008F04EA"/>
    <w:rsid w:val="008F05A5"/>
    <w:rsid w:val="008F27A8"/>
    <w:rsid w:val="008F2B24"/>
    <w:rsid w:val="008F4732"/>
    <w:rsid w:val="009007E8"/>
    <w:rsid w:val="00901349"/>
    <w:rsid w:val="00904B77"/>
    <w:rsid w:val="009065B1"/>
    <w:rsid w:val="0091050D"/>
    <w:rsid w:val="00912856"/>
    <w:rsid w:val="009152C6"/>
    <w:rsid w:val="009204ED"/>
    <w:rsid w:val="00921D9B"/>
    <w:rsid w:val="00921FB1"/>
    <w:rsid w:val="0092422C"/>
    <w:rsid w:val="00925940"/>
    <w:rsid w:val="00933EAB"/>
    <w:rsid w:val="009347F6"/>
    <w:rsid w:val="00941E5F"/>
    <w:rsid w:val="0094586B"/>
    <w:rsid w:val="00945E78"/>
    <w:rsid w:val="00946CB1"/>
    <w:rsid w:val="00950044"/>
    <w:rsid w:val="00951A71"/>
    <w:rsid w:val="00952B63"/>
    <w:rsid w:val="00952E5E"/>
    <w:rsid w:val="00953FBD"/>
    <w:rsid w:val="009565D9"/>
    <w:rsid w:val="009569A8"/>
    <w:rsid w:val="00956F8D"/>
    <w:rsid w:val="00957784"/>
    <w:rsid w:val="00961C67"/>
    <w:rsid w:val="00961E98"/>
    <w:rsid w:val="00964431"/>
    <w:rsid w:val="00964493"/>
    <w:rsid w:val="0096580F"/>
    <w:rsid w:val="0097263D"/>
    <w:rsid w:val="00974939"/>
    <w:rsid w:val="00974957"/>
    <w:rsid w:val="0097644E"/>
    <w:rsid w:val="00976767"/>
    <w:rsid w:val="009829EA"/>
    <w:rsid w:val="00986C54"/>
    <w:rsid w:val="009914F6"/>
    <w:rsid w:val="00991F4F"/>
    <w:rsid w:val="009927F0"/>
    <w:rsid w:val="0099395D"/>
    <w:rsid w:val="0099501B"/>
    <w:rsid w:val="009A519B"/>
    <w:rsid w:val="009B066F"/>
    <w:rsid w:val="009B2FBF"/>
    <w:rsid w:val="009B4813"/>
    <w:rsid w:val="009C11D5"/>
    <w:rsid w:val="009C2F6C"/>
    <w:rsid w:val="009C4886"/>
    <w:rsid w:val="009C664B"/>
    <w:rsid w:val="009C6CB2"/>
    <w:rsid w:val="009C7088"/>
    <w:rsid w:val="009D065E"/>
    <w:rsid w:val="009D2882"/>
    <w:rsid w:val="009D3DC8"/>
    <w:rsid w:val="009D4F36"/>
    <w:rsid w:val="009D5C55"/>
    <w:rsid w:val="009D799F"/>
    <w:rsid w:val="009E0DCD"/>
    <w:rsid w:val="009E1ED0"/>
    <w:rsid w:val="009E4B68"/>
    <w:rsid w:val="009E5786"/>
    <w:rsid w:val="009F175F"/>
    <w:rsid w:val="00A002BA"/>
    <w:rsid w:val="00A03014"/>
    <w:rsid w:val="00A036F9"/>
    <w:rsid w:val="00A04CA1"/>
    <w:rsid w:val="00A1253E"/>
    <w:rsid w:val="00A1461B"/>
    <w:rsid w:val="00A204FD"/>
    <w:rsid w:val="00A22858"/>
    <w:rsid w:val="00A24710"/>
    <w:rsid w:val="00A25174"/>
    <w:rsid w:val="00A26B03"/>
    <w:rsid w:val="00A27A4E"/>
    <w:rsid w:val="00A30354"/>
    <w:rsid w:val="00A3192F"/>
    <w:rsid w:val="00A33D35"/>
    <w:rsid w:val="00A33F37"/>
    <w:rsid w:val="00A437C9"/>
    <w:rsid w:val="00A43C2E"/>
    <w:rsid w:val="00A46740"/>
    <w:rsid w:val="00A46994"/>
    <w:rsid w:val="00A475FB"/>
    <w:rsid w:val="00A47946"/>
    <w:rsid w:val="00A53AC2"/>
    <w:rsid w:val="00A56251"/>
    <w:rsid w:val="00A56318"/>
    <w:rsid w:val="00A57F08"/>
    <w:rsid w:val="00A57F4F"/>
    <w:rsid w:val="00A62BBD"/>
    <w:rsid w:val="00A6366D"/>
    <w:rsid w:val="00A655AC"/>
    <w:rsid w:val="00A667DE"/>
    <w:rsid w:val="00A67A8B"/>
    <w:rsid w:val="00A67ADC"/>
    <w:rsid w:val="00A7163B"/>
    <w:rsid w:val="00A72245"/>
    <w:rsid w:val="00A81C24"/>
    <w:rsid w:val="00A82F37"/>
    <w:rsid w:val="00A846E7"/>
    <w:rsid w:val="00A84B7E"/>
    <w:rsid w:val="00A84D90"/>
    <w:rsid w:val="00A87482"/>
    <w:rsid w:val="00A92DCC"/>
    <w:rsid w:val="00A93A0D"/>
    <w:rsid w:val="00A93C41"/>
    <w:rsid w:val="00AA78E1"/>
    <w:rsid w:val="00AB1791"/>
    <w:rsid w:val="00AB1DEA"/>
    <w:rsid w:val="00AB309B"/>
    <w:rsid w:val="00AB47AA"/>
    <w:rsid w:val="00AB6511"/>
    <w:rsid w:val="00AB6E23"/>
    <w:rsid w:val="00AD0478"/>
    <w:rsid w:val="00AD1862"/>
    <w:rsid w:val="00AD4857"/>
    <w:rsid w:val="00AD60F5"/>
    <w:rsid w:val="00AD6808"/>
    <w:rsid w:val="00AE1B78"/>
    <w:rsid w:val="00AE2A34"/>
    <w:rsid w:val="00AE4229"/>
    <w:rsid w:val="00AE4D3E"/>
    <w:rsid w:val="00AE7243"/>
    <w:rsid w:val="00AF0A77"/>
    <w:rsid w:val="00AF370B"/>
    <w:rsid w:val="00AF5190"/>
    <w:rsid w:val="00AF52A6"/>
    <w:rsid w:val="00AF58E4"/>
    <w:rsid w:val="00AF6710"/>
    <w:rsid w:val="00AF79F5"/>
    <w:rsid w:val="00B0479F"/>
    <w:rsid w:val="00B0495B"/>
    <w:rsid w:val="00B078CE"/>
    <w:rsid w:val="00B114E4"/>
    <w:rsid w:val="00B114EB"/>
    <w:rsid w:val="00B142AC"/>
    <w:rsid w:val="00B162D0"/>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37D"/>
    <w:rsid w:val="00B56DF6"/>
    <w:rsid w:val="00B57D0E"/>
    <w:rsid w:val="00B61A07"/>
    <w:rsid w:val="00B7310B"/>
    <w:rsid w:val="00B73B5B"/>
    <w:rsid w:val="00B744F0"/>
    <w:rsid w:val="00B75595"/>
    <w:rsid w:val="00B776A6"/>
    <w:rsid w:val="00B84038"/>
    <w:rsid w:val="00B8790C"/>
    <w:rsid w:val="00B87B0A"/>
    <w:rsid w:val="00B90119"/>
    <w:rsid w:val="00B928D7"/>
    <w:rsid w:val="00B93BD0"/>
    <w:rsid w:val="00B93D02"/>
    <w:rsid w:val="00B95CF3"/>
    <w:rsid w:val="00B96D52"/>
    <w:rsid w:val="00BA1DF6"/>
    <w:rsid w:val="00BA2659"/>
    <w:rsid w:val="00BA3EFE"/>
    <w:rsid w:val="00BA482E"/>
    <w:rsid w:val="00BA6532"/>
    <w:rsid w:val="00BB2F0A"/>
    <w:rsid w:val="00BB3754"/>
    <w:rsid w:val="00BB7777"/>
    <w:rsid w:val="00BB7CCC"/>
    <w:rsid w:val="00BC2483"/>
    <w:rsid w:val="00BD08A7"/>
    <w:rsid w:val="00BD26BF"/>
    <w:rsid w:val="00BD7D88"/>
    <w:rsid w:val="00BE006A"/>
    <w:rsid w:val="00BE23E6"/>
    <w:rsid w:val="00BE2A03"/>
    <w:rsid w:val="00BE6AA2"/>
    <w:rsid w:val="00BE73FC"/>
    <w:rsid w:val="00BE76E1"/>
    <w:rsid w:val="00BF0F8E"/>
    <w:rsid w:val="00BF23D4"/>
    <w:rsid w:val="00BF34A9"/>
    <w:rsid w:val="00BF3CD9"/>
    <w:rsid w:val="00BF3F17"/>
    <w:rsid w:val="00BF40A6"/>
    <w:rsid w:val="00BF5F3B"/>
    <w:rsid w:val="00BF708B"/>
    <w:rsid w:val="00BF7B6A"/>
    <w:rsid w:val="00BF7DDD"/>
    <w:rsid w:val="00C01AF2"/>
    <w:rsid w:val="00C03EF8"/>
    <w:rsid w:val="00C050E4"/>
    <w:rsid w:val="00C07FC9"/>
    <w:rsid w:val="00C10BFF"/>
    <w:rsid w:val="00C14E32"/>
    <w:rsid w:val="00C2189B"/>
    <w:rsid w:val="00C21B9F"/>
    <w:rsid w:val="00C21E2A"/>
    <w:rsid w:val="00C225EE"/>
    <w:rsid w:val="00C263A0"/>
    <w:rsid w:val="00C314B4"/>
    <w:rsid w:val="00C318C5"/>
    <w:rsid w:val="00C36A1F"/>
    <w:rsid w:val="00C4406D"/>
    <w:rsid w:val="00C467BE"/>
    <w:rsid w:val="00C526A7"/>
    <w:rsid w:val="00C535C8"/>
    <w:rsid w:val="00C5384F"/>
    <w:rsid w:val="00C5572F"/>
    <w:rsid w:val="00C55FFC"/>
    <w:rsid w:val="00C578ED"/>
    <w:rsid w:val="00C6125E"/>
    <w:rsid w:val="00C70FE3"/>
    <w:rsid w:val="00C7546E"/>
    <w:rsid w:val="00C76780"/>
    <w:rsid w:val="00C77E1C"/>
    <w:rsid w:val="00C82A1F"/>
    <w:rsid w:val="00C9526D"/>
    <w:rsid w:val="00CA4C35"/>
    <w:rsid w:val="00CA5900"/>
    <w:rsid w:val="00CA666F"/>
    <w:rsid w:val="00CA70AB"/>
    <w:rsid w:val="00CB043E"/>
    <w:rsid w:val="00CB59C6"/>
    <w:rsid w:val="00CB5EA4"/>
    <w:rsid w:val="00CB7839"/>
    <w:rsid w:val="00CB7E95"/>
    <w:rsid w:val="00CC59AE"/>
    <w:rsid w:val="00CC749B"/>
    <w:rsid w:val="00CD0AE7"/>
    <w:rsid w:val="00CD6159"/>
    <w:rsid w:val="00CD6715"/>
    <w:rsid w:val="00CD7ADF"/>
    <w:rsid w:val="00CE146E"/>
    <w:rsid w:val="00CE4AC6"/>
    <w:rsid w:val="00CE5AB0"/>
    <w:rsid w:val="00CF291F"/>
    <w:rsid w:val="00CF326A"/>
    <w:rsid w:val="00CF6941"/>
    <w:rsid w:val="00D116D9"/>
    <w:rsid w:val="00D16367"/>
    <w:rsid w:val="00D1646C"/>
    <w:rsid w:val="00D172C0"/>
    <w:rsid w:val="00D20266"/>
    <w:rsid w:val="00D243D4"/>
    <w:rsid w:val="00D30D27"/>
    <w:rsid w:val="00D31330"/>
    <w:rsid w:val="00D32563"/>
    <w:rsid w:val="00D32A88"/>
    <w:rsid w:val="00D33BDE"/>
    <w:rsid w:val="00D341B4"/>
    <w:rsid w:val="00D36956"/>
    <w:rsid w:val="00D3793F"/>
    <w:rsid w:val="00D404EE"/>
    <w:rsid w:val="00D405AD"/>
    <w:rsid w:val="00D5105D"/>
    <w:rsid w:val="00D527F1"/>
    <w:rsid w:val="00D52F33"/>
    <w:rsid w:val="00D538E2"/>
    <w:rsid w:val="00D577AF"/>
    <w:rsid w:val="00D61730"/>
    <w:rsid w:val="00D63532"/>
    <w:rsid w:val="00D6355C"/>
    <w:rsid w:val="00D636DC"/>
    <w:rsid w:val="00D70D20"/>
    <w:rsid w:val="00D72661"/>
    <w:rsid w:val="00D72B2F"/>
    <w:rsid w:val="00D7419B"/>
    <w:rsid w:val="00D746F4"/>
    <w:rsid w:val="00D76153"/>
    <w:rsid w:val="00D77C35"/>
    <w:rsid w:val="00D8184B"/>
    <w:rsid w:val="00D832F4"/>
    <w:rsid w:val="00D909FD"/>
    <w:rsid w:val="00D93720"/>
    <w:rsid w:val="00DA3306"/>
    <w:rsid w:val="00DA3D21"/>
    <w:rsid w:val="00DA49C0"/>
    <w:rsid w:val="00DB2C3B"/>
    <w:rsid w:val="00DB43F3"/>
    <w:rsid w:val="00DB5935"/>
    <w:rsid w:val="00DC0E67"/>
    <w:rsid w:val="00DC1E93"/>
    <w:rsid w:val="00DC1FA5"/>
    <w:rsid w:val="00DC2D0E"/>
    <w:rsid w:val="00DC2EE1"/>
    <w:rsid w:val="00DC52C9"/>
    <w:rsid w:val="00DC7008"/>
    <w:rsid w:val="00DC7D8D"/>
    <w:rsid w:val="00DD0639"/>
    <w:rsid w:val="00DD1102"/>
    <w:rsid w:val="00DD234E"/>
    <w:rsid w:val="00DD7161"/>
    <w:rsid w:val="00DD7784"/>
    <w:rsid w:val="00DD7B7F"/>
    <w:rsid w:val="00DE034E"/>
    <w:rsid w:val="00DE42F8"/>
    <w:rsid w:val="00DE4797"/>
    <w:rsid w:val="00DE5F49"/>
    <w:rsid w:val="00DE6831"/>
    <w:rsid w:val="00DE7DC5"/>
    <w:rsid w:val="00DF1F60"/>
    <w:rsid w:val="00DF20C4"/>
    <w:rsid w:val="00E0335E"/>
    <w:rsid w:val="00E14BF8"/>
    <w:rsid w:val="00E15A9C"/>
    <w:rsid w:val="00E17961"/>
    <w:rsid w:val="00E17B47"/>
    <w:rsid w:val="00E2022F"/>
    <w:rsid w:val="00E274B7"/>
    <w:rsid w:val="00E277AE"/>
    <w:rsid w:val="00E30514"/>
    <w:rsid w:val="00E3365D"/>
    <w:rsid w:val="00E35C24"/>
    <w:rsid w:val="00E36AD6"/>
    <w:rsid w:val="00E41D68"/>
    <w:rsid w:val="00E42549"/>
    <w:rsid w:val="00E502F7"/>
    <w:rsid w:val="00E504E0"/>
    <w:rsid w:val="00E50E07"/>
    <w:rsid w:val="00E56D78"/>
    <w:rsid w:val="00E5764E"/>
    <w:rsid w:val="00E60A36"/>
    <w:rsid w:val="00E64FDB"/>
    <w:rsid w:val="00E6582B"/>
    <w:rsid w:val="00E76B2D"/>
    <w:rsid w:val="00E801F6"/>
    <w:rsid w:val="00E80770"/>
    <w:rsid w:val="00E81E6E"/>
    <w:rsid w:val="00E8201B"/>
    <w:rsid w:val="00E82024"/>
    <w:rsid w:val="00E847C3"/>
    <w:rsid w:val="00E852B1"/>
    <w:rsid w:val="00E86083"/>
    <w:rsid w:val="00E865E6"/>
    <w:rsid w:val="00E9258A"/>
    <w:rsid w:val="00E940C6"/>
    <w:rsid w:val="00EA2F7A"/>
    <w:rsid w:val="00EA3547"/>
    <w:rsid w:val="00EA38B0"/>
    <w:rsid w:val="00EA4AA6"/>
    <w:rsid w:val="00EA619E"/>
    <w:rsid w:val="00EA7809"/>
    <w:rsid w:val="00EB088D"/>
    <w:rsid w:val="00EB0BA7"/>
    <w:rsid w:val="00EB1F79"/>
    <w:rsid w:val="00EB76FE"/>
    <w:rsid w:val="00EB7D37"/>
    <w:rsid w:val="00EC0305"/>
    <w:rsid w:val="00EC1802"/>
    <w:rsid w:val="00EC60F1"/>
    <w:rsid w:val="00EC6743"/>
    <w:rsid w:val="00EC686E"/>
    <w:rsid w:val="00EC795A"/>
    <w:rsid w:val="00ED009C"/>
    <w:rsid w:val="00ED08EA"/>
    <w:rsid w:val="00ED2FFA"/>
    <w:rsid w:val="00ED4802"/>
    <w:rsid w:val="00EE019F"/>
    <w:rsid w:val="00EE13D4"/>
    <w:rsid w:val="00EE2ECB"/>
    <w:rsid w:val="00EE3381"/>
    <w:rsid w:val="00EE3884"/>
    <w:rsid w:val="00EE4443"/>
    <w:rsid w:val="00EE4AD9"/>
    <w:rsid w:val="00EE4F46"/>
    <w:rsid w:val="00EE5F98"/>
    <w:rsid w:val="00EF0B15"/>
    <w:rsid w:val="00EF2CA4"/>
    <w:rsid w:val="00F00629"/>
    <w:rsid w:val="00F078B0"/>
    <w:rsid w:val="00F1067A"/>
    <w:rsid w:val="00F10BD6"/>
    <w:rsid w:val="00F10DE2"/>
    <w:rsid w:val="00F10F13"/>
    <w:rsid w:val="00F135B7"/>
    <w:rsid w:val="00F136C3"/>
    <w:rsid w:val="00F13F5D"/>
    <w:rsid w:val="00F154D4"/>
    <w:rsid w:val="00F17CA1"/>
    <w:rsid w:val="00F20E15"/>
    <w:rsid w:val="00F223B0"/>
    <w:rsid w:val="00F24CD0"/>
    <w:rsid w:val="00F25B8F"/>
    <w:rsid w:val="00F26EC7"/>
    <w:rsid w:val="00F3622F"/>
    <w:rsid w:val="00F36E1E"/>
    <w:rsid w:val="00F3728F"/>
    <w:rsid w:val="00F377AF"/>
    <w:rsid w:val="00F4160A"/>
    <w:rsid w:val="00F42222"/>
    <w:rsid w:val="00F43654"/>
    <w:rsid w:val="00F43795"/>
    <w:rsid w:val="00F45FB0"/>
    <w:rsid w:val="00F471AA"/>
    <w:rsid w:val="00F509DD"/>
    <w:rsid w:val="00F517BC"/>
    <w:rsid w:val="00F51FAB"/>
    <w:rsid w:val="00F5240B"/>
    <w:rsid w:val="00F53869"/>
    <w:rsid w:val="00F53C44"/>
    <w:rsid w:val="00F553E4"/>
    <w:rsid w:val="00F55C8E"/>
    <w:rsid w:val="00F571A8"/>
    <w:rsid w:val="00F60ACB"/>
    <w:rsid w:val="00F61CCD"/>
    <w:rsid w:val="00F636EA"/>
    <w:rsid w:val="00F657DE"/>
    <w:rsid w:val="00F71237"/>
    <w:rsid w:val="00F8254A"/>
    <w:rsid w:val="00F833FB"/>
    <w:rsid w:val="00F83EA7"/>
    <w:rsid w:val="00F85A4F"/>
    <w:rsid w:val="00F87230"/>
    <w:rsid w:val="00F87F49"/>
    <w:rsid w:val="00F91025"/>
    <w:rsid w:val="00F94254"/>
    <w:rsid w:val="00F953B9"/>
    <w:rsid w:val="00F96C73"/>
    <w:rsid w:val="00F97D9E"/>
    <w:rsid w:val="00FA017D"/>
    <w:rsid w:val="00FA1968"/>
    <w:rsid w:val="00FA7EC3"/>
    <w:rsid w:val="00FB3B44"/>
    <w:rsid w:val="00FB6391"/>
    <w:rsid w:val="00FC21CC"/>
    <w:rsid w:val="00FC4337"/>
    <w:rsid w:val="00FC7D0F"/>
    <w:rsid w:val="00FD070C"/>
    <w:rsid w:val="00FD3AEF"/>
    <w:rsid w:val="00FE0148"/>
    <w:rsid w:val="00FE7434"/>
    <w:rsid w:val="00FF082A"/>
    <w:rsid w:val="00FF0F32"/>
    <w:rsid w:val="00FF4C4D"/>
    <w:rsid w:val="00FF7B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15B5"/>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 w:type="character" w:styleId="SlijeenaHiperveza">
    <w:name w:val="FollowedHyperlink"/>
    <w:basedOn w:val="Zadanifontodlomka"/>
    <w:uiPriority w:val="99"/>
    <w:semiHidden/>
    <w:unhideWhenUsed/>
    <w:rsid w:val="00964431"/>
    <w:rPr>
      <w:color w:val="800080" w:themeColor="followedHyperlink"/>
      <w:u w:val="single"/>
    </w:rPr>
  </w:style>
  <w:style w:type="paragraph" w:styleId="Tekstfusnote">
    <w:name w:val="footnote text"/>
    <w:basedOn w:val="Normal"/>
    <w:link w:val="TekstfusnoteChar"/>
    <w:uiPriority w:val="99"/>
    <w:semiHidden/>
    <w:unhideWhenUsed/>
    <w:rsid w:val="005C74BD"/>
    <w:rPr>
      <w:sz w:val="20"/>
      <w:szCs w:val="20"/>
    </w:rPr>
  </w:style>
  <w:style w:type="character" w:customStyle="1" w:styleId="TekstfusnoteChar">
    <w:name w:val="Tekst fusnote Char"/>
    <w:basedOn w:val="Zadanifontodlomka"/>
    <w:link w:val="Tekstfusnote"/>
    <w:uiPriority w:val="99"/>
    <w:semiHidden/>
    <w:rsid w:val="005C74BD"/>
    <w:rPr>
      <w:rFonts w:eastAsia="Times New Roman" w:cs="Times New Roman"/>
      <w:sz w:val="20"/>
      <w:szCs w:val="20"/>
      <w:lang w:eastAsia="hr-HR"/>
    </w:rPr>
  </w:style>
  <w:style w:type="character" w:styleId="Referencafusnote">
    <w:name w:val="footnote reference"/>
    <w:aliases w:val="BVI fnr,ftref,BVI fnr Car Car,BVI fnr Car,BVI fnr Car Car Car Car,BVI fnr Car Car Car Car Char,stylish, BVI fnr, BVI fnr Car Car, BVI fnr Car Car Car Car, BVI fnr Car Car Car Car Char,BVI fnr Car Char1 Char,BVI fnr Car Car Char1 Char"/>
    <w:basedOn w:val="Zadanifontodlomka"/>
    <w:uiPriority w:val="99"/>
    <w:unhideWhenUsed/>
    <w:qFormat/>
    <w:rsid w:val="005C7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578907380">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s://www.revizija.hr/izvjesca/10?IzvjescaSrch=1&amp;pojamIzvjesce=&amp;godinaID=29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CCF0-3B3E-4601-A30D-C39E28F7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5219</Words>
  <Characters>29753</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 (via Google Docs)</dc:creator>
  <cp:lastModifiedBy>Josipa Maraković</cp:lastModifiedBy>
  <cp:revision>3</cp:revision>
  <cp:lastPrinted>2022-03-28T17:10:00Z</cp:lastPrinted>
  <dcterms:created xsi:type="dcterms:W3CDTF">2025-03-31T08:47:00Z</dcterms:created>
  <dcterms:modified xsi:type="dcterms:W3CDTF">2025-03-31T12:39:00Z</dcterms:modified>
</cp:coreProperties>
</file>